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ADE7" w14:textId="77777777" w:rsidR="00E104F7" w:rsidRPr="00E104F7" w:rsidRDefault="00E104F7" w:rsidP="00E104F7">
      <w:pPr>
        <w:spacing w:beforeLines="100" w:before="312" w:afterLines="100" w:after="312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4F7">
        <w:rPr>
          <w:rFonts w:ascii="Times New Roman" w:hAnsi="Times New Roman"/>
          <w:b/>
          <w:bCs/>
          <w:sz w:val="24"/>
          <w:szCs w:val="24"/>
        </w:rPr>
        <w:t>Supplementary Table 1. Baseline characteristics in the entire cohort</w:t>
      </w:r>
    </w:p>
    <w:tbl>
      <w:tblPr>
        <w:tblStyle w:val="TableGrid"/>
        <w:tblW w:w="8365" w:type="dxa"/>
        <w:jc w:val="center"/>
        <w:tblLook w:val="04A0" w:firstRow="1" w:lastRow="0" w:firstColumn="1" w:lastColumn="0" w:noHBand="0" w:noVBand="1"/>
      </w:tblPr>
      <w:tblGrid>
        <w:gridCol w:w="2965"/>
        <w:gridCol w:w="2160"/>
        <w:gridCol w:w="2212"/>
        <w:gridCol w:w="1028"/>
      </w:tblGrid>
      <w:tr w:rsidR="00E104F7" w:rsidRPr="00E104F7" w14:paraId="4EB31C3D" w14:textId="77777777" w:rsidTr="00B14A2B">
        <w:trPr>
          <w:jc w:val="center"/>
        </w:trPr>
        <w:tc>
          <w:tcPr>
            <w:tcW w:w="2965" w:type="dxa"/>
          </w:tcPr>
          <w:p w14:paraId="2B1B27C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160" w:type="dxa"/>
          </w:tcPr>
          <w:p w14:paraId="4BD19AE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Nonpledgeted (n=1144)</w:t>
            </w:r>
          </w:p>
        </w:tc>
        <w:tc>
          <w:tcPr>
            <w:tcW w:w="2212" w:type="dxa"/>
          </w:tcPr>
          <w:p w14:paraId="432FED0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Pledgeted (n=1096)</w:t>
            </w:r>
          </w:p>
        </w:tc>
        <w:tc>
          <w:tcPr>
            <w:tcW w:w="1028" w:type="dxa"/>
          </w:tcPr>
          <w:p w14:paraId="20A4007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104F7" w:rsidRPr="00E104F7" w14:paraId="0F980B5B" w14:textId="77777777" w:rsidTr="00B14A2B">
        <w:trPr>
          <w:jc w:val="center"/>
        </w:trPr>
        <w:tc>
          <w:tcPr>
            <w:tcW w:w="2965" w:type="dxa"/>
          </w:tcPr>
          <w:p w14:paraId="484F3AC8" w14:textId="77777777" w:rsidR="00E104F7" w:rsidRPr="00E104F7" w:rsidRDefault="00E104F7" w:rsidP="00E3153A">
            <w:pPr>
              <w:tabs>
                <w:tab w:val="left" w:pos="1424"/>
              </w:tabs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Sex (female)</w:t>
            </w:r>
          </w:p>
        </w:tc>
        <w:tc>
          <w:tcPr>
            <w:tcW w:w="2160" w:type="dxa"/>
            <w:vAlign w:val="bottom"/>
          </w:tcPr>
          <w:p w14:paraId="228EF6B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408 (35.66%)</w:t>
            </w:r>
          </w:p>
        </w:tc>
        <w:tc>
          <w:tcPr>
            <w:tcW w:w="2212" w:type="dxa"/>
            <w:vAlign w:val="bottom"/>
          </w:tcPr>
          <w:p w14:paraId="619B2E61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407 (37.14%)</w:t>
            </w:r>
          </w:p>
        </w:tc>
        <w:tc>
          <w:tcPr>
            <w:tcW w:w="1028" w:type="dxa"/>
            <w:vAlign w:val="bottom"/>
          </w:tcPr>
          <w:p w14:paraId="194F3B0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0.47</w:t>
            </w:r>
          </w:p>
        </w:tc>
      </w:tr>
      <w:tr w:rsidR="00E104F7" w:rsidRPr="00E104F7" w14:paraId="2C08C12B" w14:textId="77777777" w:rsidTr="00B14A2B">
        <w:trPr>
          <w:jc w:val="center"/>
        </w:trPr>
        <w:tc>
          <w:tcPr>
            <w:tcW w:w="2965" w:type="dxa"/>
          </w:tcPr>
          <w:p w14:paraId="56F8620C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2160" w:type="dxa"/>
            <w:vAlign w:val="bottom"/>
          </w:tcPr>
          <w:p w14:paraId="11D644D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337 (29.46%)</w:t>
            </w:r>
          </w:p>
        </w:tc>
        <w:tc>
          <w:tcPr>
            <w:tcW w:w="2212" w:type="dxa"/>
            <w:vAlign w:val="bottom"/>
          </w:tcPr>
          <w:p w14:paraId="641BEE2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376 (34.31%)</w:t>
            </w:r>
          </w:p>
        </w:tc>
        <w:tc>
          <w:tcPr>
            <w:tcW w:w="1028" w:type="dxa"/>
            <w:vAlign w:val="bottom"/>
          </w:tcPr>
          <w:p w14:paraId="1E8D412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E104F7" w:rsidRPr="00E104F7" w14:paraId="512ED3F7" w14:textId="77777777" w:rsidTr="00B14A2B">
        <w:trPr>
          <w:jc w:val="center"/>
        </w:trPr>
        <w:tc>
          <w:tcPr>
            <w:tcW w:w="2965" w:type="dxa"/>
          </w:tcPr>
          <w:p w14:paraId="66E76636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2160" w:type="dxa"/>
            <w:vAlign w:val="bottom"/>
          </w:tcPr>
          <w:p w14:paraId="56490C6B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938 (81.99%)</w:t>
            </w:r>
          </w:p>
        </w:tc>
        <w:tc>
          <w:tcPr>
            <w:tcW w:w="2212" w:type="dxa"/>
            <w:vAlign w:val="bottom"/>
          </w:tcPr>
          <w:p w14:paraId="4B6E46C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906 (82.66%)</w:t>
            </w:r>
          </w:p>
        </w:tc>
        <w:tc>
          <w:tcPr>
            <w:tcW w:w="1028" w:type="dxa"/>
            <w:vAlign w:val="bottom"/>
          </w:tcPr>
          <w:p w14:paraId="609F0FD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0.68</w:t>
            </w:r>
          </w:p>
        </w:tc>
      </w:tr>
      <w:tr w:rsidR="00E104F7" w:rsidRPr="00E104F7" w14:paraId="3AF27008" w14:textId="77777777" w:rsidTr="00B14A2B">
        <w:trPr>
          <w:jc w:val="center"/>
        </w:trPr>
        <w:tc>
          <w:tcPr>
            <w:tcW w:w="2965" w:type="dxa"/>
          </w:tcPr>
          <w:p w14:paraId="0C867B0F" w14:textId="581F6843" w:rsidR="00E104F7" w:rsidRPr="00E104F7" w:rsidRDefault="00E104F7" w:rsidP="003B12C9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Chronic</w:t>
            </w:r>
            <w:r w:rsidR="003B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F7">
              <w:rPr>
                <w:rFonts w:ascii="Times New Roman" w:hAnsi="Times New Roman"/>
                <w:sz w:val="24"/>
                <w:szCs w:val="24"/>
              </w:rPr>
              <w:t>obstructive pulmonary disease</w:t>
            </w:r>
          </w:p>
        </w:tc>
        <w:tc>
          <w:tcPr>
            <w:tcW w:w="2160" w:type="dxa"/>
            <w:vAlign w:val="bottom"/>
          </w:tcPr>
          <w:p w14:paraId="1E2B972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271 (23.69%)</w:t>
            </w:r>
          </w:p>
        </w:tc>
        <w:tc>
          <w:tcPr>
            <w:tcW w:w="2212" w:type="dxa"/>
            <w:vAlign w:val="bottom"/>
          </w:tcPr>
          <w:p w14:paraId="0951E56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237 (21.62%)</w:t>
            </w:r>
          </w:p>
        </w:tc>
        <w:tc>
          <w:tcPr>
            <w:tcW w:w="1028" w:type="dxa"/>
            <w:vAlign w:val="bottom"/>
          </w:tcPr>
          <w:p w14:paraId="25DA18B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</w:tr>
      <w:tr w:rsidR="00E104F7" w:rsidRPr="00E104F7" w14:paraId="05B1C7E3" w14:textId="77777777" w:rsidTr="00B14A2B">
        <w:trPr>
          <w:jc w:val="center"/>
        </w:trPr>
        <w:tc>
          <w:tcPr>
            <w:tcW w:w="2965" w:type="dxa"/>
          </w:tcPr>
          <w:p w14:paraId="01C0B70E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Peripheral vascular disease</w:t>
            </w:r>
          </w:p>
        </w:tc>
        <w:tc>
          <w:tcPr>
            <w:tcW w:w="2160" w:type="dxa"/>
            <w:vAlign w:val="bottom"/>
          </w:tcPr>
          <w:p w14:paraId="593B46E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158 (13.81%)</w:t>
            </w:r>
          </w:p>
        </w:tc>
        <w:tc>
          <w:tcPr>
            <w:tcW w:w="2212" w:type="dxa"/>
            <w:vAlign w:val="bottom"/>
          </w:tcPr>
          <w:p w14:paraId="521B522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128 (11.68%)</w:t>
            </w:r>
          </w:p>
        </w:tc>
        <w:tc>
          <w:tcPr>
            <w:tcW w:w="1028" w:type="dxa"/>
            <w:vAlign w:val="bottom"/>
          </w:tcPr>
          <w:p w14:paraId="7D2B6AE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E104F7" w:rsidRPr="00E104F7" w14:paraId="2062A13A" w14:textId="77777777" w:rsidTr="00B14A2B">
        <w:trPr>
          <w:jc w:val="center"/>
        </w:trPr>
        <w:tc>
          <w:tcPr>
            <w:tcW w:w="2965" w:type="dxa"/>
          </w:tcPr>
          <w:p w14:paraId="104E1560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Cerebrovascular disease</w:t>
            </w:r>
          </w:p>
        </w:tc>
        <w:tc>
          <w:tcPr>
            <w:tcW w:w="2160" w:type="dxa"/>
            <w:vAlign w:val="bottom"/>
          </w:tcPr>
          <w:p w14:paraId="1E96C96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198 (17.31%)</w:t>
            </w:r>
          </w:p>
        </w:tc>
        <w:tc>
          <w:tcPr>
            <w:tcW w:w="2212" w:type="dxa"/>
            <w:vAlign w:val="bottom"/>
          </w:tcPr>
          <w:p w14:paraId="19B98A3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206 (18.80%)</w:t>
            </w:r>
          </w:p>
        </w:tc>
        <w:tc>
          <w:tcPr>
            <w:tcW w:w="1028" w:type="dxa"/>
            <w:vAlign w:val="bottom"/>
          </w:tcPr>
          <w:p w14:paraId="7DF7A42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0.36</w:t>
            </w:r>
          </w:p>
        </w:tc>
      </w:tr>
      <w:tr w:rsidR="00E104F7" w:rsidRPr="00E104F7" w14:paraId="7359A8F7" w14:textId="77777777" w:rsidTr="00B14A2B">
        <w:trPr>
          <w:jc w:val="center"/>
        </w:trPr>
        <w:tc>
          <w:tcPr>
            <w:tcW w:w="2965" w:type="dxa"/>
          </w:tcPr>
          <w:p w14:paraId="02CFF52E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</w:tc>
        <w:tc>
          <w:tcPr>
            <w:tcW w:w="2160" w:type="dxa"/>
            <w:vAlign w:val="bottom"/>
          </w:tcPr>
          <w:p w14:paraId="7EFDA7A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363 (31.73%)</w:t>
            </w:r>
          </w:p>
        </w:tc>
        <w:tc>
          <w:tcPr>
            <w:tcW w:w="2212" w:type="dxa"/>
            <w:vAlign w:val="bottom"/>
          </w:tcPr>
          <w:p w14:paraId="64155F2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323 (29.47%)</w:t>
            </w:r>
          </w:p>
        </w:tc>
        <w:tc>
          <w:tcPr>
            <w:tcW w:w="1028" w:type="dxa"/>
            <w:vAlign w:val="bottom"/>
          </w:tcPr>
          <w:p w14:paraId="22F02F7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0.25</w:t>
            </w:r>
          </w:p>
        </w:tc>
      </w:tr>
      <w:tr w:rsidR="00E104F7" w:rsidRPr="00E104F7" w14:paraId="51B0B137" w14:textId="77777777" w:rsidTr="00B14A2B">
        <w:trPr>
          <w:jc w:val="center"/>
        </w:trPr>
        <w:tc>
          <w:tcPr>
            <w:tcW w:w="2965" w:type="dxa"/>
          </w:tcPr>
          <w:p w14:paraId="51B40989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Arrhythmia</w:t>
            </w:r>
          </w:p>
        </w:tc>
        <w:tc>
          <w:tcPr>
            <w:tcW w:w="2160" w:type="dxa"/>
            <w:vAlign w:val="bottom"/>
          </w:tcPr>
          <w:p w14:paraId="02DEA5B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214 (18.71%)</w:t>
            </w:r>
          </w:p>
        </w:tc>
        <w:tc>
          <w:tcPr>
            <w:tcW w:w="2212" w:type="dxa"/>
            <w:vAlign w:val="bottom"/>
          </w:tcPr>
          <w:p w14:paraId="328801E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157 (14.32%)</w:t>
            </w:r>
          </w:p>
        </w:tc>
        <w:tc>
          <w:tcPr>
            <w:tcW w:w="1028" w:type="dxa"/>
            <w:vAlign w:val="bottom"/>
          </w:tcPr>
          <w:p w14:paraId="26BD92A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</w:tr>
      <w:tr w:rsidR="00E104F7" w:rsidRPr="00E104F7" w14:paraId="3A25D3F2" w14:textId="77777777" w:rsidTr="00B14A2B">
        <w:trPr>
          <w:jc w:val="center"/>
        </w:trPr>
        <w:tc>
          <w:tcPr>
            <w:tcW w:w="2965" w:type="dxa"/>
          </w:tcPr>
          <w:p w14:paraId="028B77EE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Status</w:t>
            </w:r>
          </w:p>
          <w:p w14:paraId="3B849CFC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Elective</w:t>
            </w:r>
          </w:p>
          <w:p w14:paraId="698739E0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Urgent</w:t>
            </w:r>
          </w:p>
          <w:p w14:paraId="03C43E6A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Emergent</w:t>
            </w:r>
          </w:p>
        </w:tc>
        <w:tc>
          <w:tcPr>
            <w:tcW w:w="2160" w:type="dxa"/>
            <w:vAlign w:val="bottom"/>
          </w:tcPr>
          <w:p w14:paraId="1A9B1B8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C24F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936 (81.82%)</w:t>
            </w:r>
          </w:p>
          <w:p w14:paraId="74A4166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187 (16.35%)</w:t>
            </w:r>
          </w:p>
          <w:p w14:paraId="55FBC64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21 (1.84%)</w:t>
            </w:r>
          </w:p>
        </w:tc>
        <w:tc>
          <w:tcPr>
            <w:tcW w:w="2212" w:type="dxa"/>
          </w:tcPr>
          <w:p w14:paraId="36F37F38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645BD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766 (69.89%)</w:t>
            </w:r>
          </w:p>
          <w:p w14:paraId="432502E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317 (28.92%)</w:t>
            </w:r>
          </w:p>
          <w:p w14:paraId="7DEE2F8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13 (1.19%)</w:t>
            </w:r>
          </w:p>
        </w:tc>
        <w:tc>
          <w:tcPr>
            <w:tcW w:w="1028" w:type="dxa"/>
          </w:tcPr>
          <w:p w14:paraId="35A29B1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E104F7" w:rsidRPr="00E104F7" w14:paraId="348B3DC7" w14:textId="77777777" w:rsidTr="00B14A2B">
        <w:trPr>
          <w:jc w:val="center"/>
        </w:trPr>
        <w:tc>
          <w:tcPr>
            <w:tcW w:w="2965" w:type="dxa"/>
          </w:tcPr>
          <w:p w14:paraId="5840C307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Redo cardiac surgery</w:t>
            </w:r>
          </w:p>
        </w:tc>
        <w:tc>
          <w:tcPr>
            <w:tcW w:w="2160" w:type="dxa"/>
            <w:vAlign w:val="bottom"/>
          </w:tcPr>
          <w:p w14:paraId="4786D4C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306 (26.75%)</w:t>
            </w:r>
          </w:p>
        </w:tc>
        <w:tc>
          <w:tcPr>
            <w:tcW w:w="2212" w:type="dxa"/>
            <w:vAlign w:val="bottom"/>
          </w:tcPr>
          <w:p w14:paraId="1A9D01E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208 (18.98%)</w:t>
            </w:r>
          </w:p>
        </w:tc>
        <w:tc>
          <w:tcPr>
            <w:tcW w:w="1028" w:type="dxa"/>
            <w:vAlign w:val="bottom"/>
          </w:tcPr>
          <w:p w14:paraId="145FA6B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</w:p>
        </w:tc>
      </w:tr>
      <w:tr w:rsidR="00E104F7" w:rsidRPr="00E104F7" w14:paraId="7FDC9FFA" w14:textId="77777777" w:rsidTr="00B14A2B">
        <w:trPr>
          <w:jc w:val="center"/>
        </w:trPr>
        <w:tc>
          <w:tcPr>
            <w:tcW w:w="2965" w:type="dxa"/>
          </w:tcPr>
          <w:p w14:paraId="5CCDD4D5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Body mass index</w:t>
            </w:r>
          </w:p>
        </w:tc>
        <w:tc>
          <w:tcPr>
            <w:tcW w:w="2160" w:type="dxa"/>
            <w:vAlign w:val="bottom"/>
          </w:tcPr>
          <w:p w14:paraId="5F6ACB8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29.03 [25.40-33.90]</w:t>
            </w:r>
          </w:p>
        </w:tc>
        <w:tc>
          <w:tcPr>
            <w:tcW w:w="2212" w:type="dxa"/>
            <w:vAlign w:val="bottom"/>
          </w:tcPr>
          <w:p w14:paraId="1F0F570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29.43 [25.95-33.70]</w:t>
            </w:r>
          </w:p>
        </w:tc>
        <w:tc>
          <w:tcPr>
            <w:tcW w:w="1028" w:type="dxa"/>
            <w:vAlign w:val="bottom"/>
          </w:tcPr>
          <w:p w14:paraId="2A89B47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</w:tr>
      <w:tr w:rsidR="00E104F7" w:rsidRPr="00E104F7" w14:paraId="39B26460" w14:textId="77777777" w:rsidTr="00B14A2B">
        <w:trPr>
          <w:jc w:val="center"/>
        </w:trPr>
        <w:tc>
          <w:tcPr>
            <w:tcW w:w="2965" w:type="dxa"/>
          </w:tcPr>
          <w:p w14:paraId="4DF231DB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160" w:type="dxa"/>
            <w:vAlign w:val="bottom"/>
          </w:tcPr>
          <w:p w14:paraId="5F6F77F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69.00 [60.00-76.00]</w:t>
            </w:r>
          </w:p>
        </w:tc>
        <w:tc>
          <w:tcPr>
            <w:tcW w:w="2212" w:type="dxa"/>
            <w:vAlign w:val="bottom"/>
          </w:tcPr>
          <w:p w14:paraId="5259738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68.00 [60.00-76.00]</w:t>
            </w:r>
          </w:p>
        </w:tc>
        <w:tc>
          <w:tcPr>
            <w:tcW w:w="1028" w:type="dxa"/>
            <w:vAlign w:val="bottom"/>
          </w:tcPr>
          <w:p w14:paraId="4CB0E79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0.18</w:t>
            </w:r>
          </w:p>
        </w:tc>
      </w:tr>
      <w:tr w:rsidR="00E104F7" w:rsidRPr="00E104F7" w14:paraId="240429CA" w14:textId="77777777" w:rsidTr="00B14A2B">
        <w:trPr>
          <w:jc w:val="center"/>
        </w:trPr>
        <w:tc>
          <w:tcPr>
            <w:tcW w:w="2965" w:type="dxa"/>
          </w:tcPr>
          <w:p w14:paraId="0BC197C3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Ejection fraction</w:t>
            </w:r>
          </w:p>
        </w:tc>
        <w:tc>
          <w:tcPr>
            <w:tcW w:w="2160" w:type="dxa"/>
            <w:vAlign w:val="bottom"/>
          </w:tcPr>
          <w:p w14:paraId="1CE7C20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58.00 [55.00-63.00]</w:t>
            </w:r>
          </w:p>
        </w:tc>
        <w:tc>
          <w:tcPr>
            <w:tcW w:w="2212" w:type="dxa"/>
            <w:vAlign w:val="bottom"/>
          </w:tcPr>
          <w:p w14:paraId="020A294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58.00 [53.00-63.00]</w:t>
            </w:r>
          </w:p>
        </w:tc>
        <w:tc>
          <w:tcPr>
            <w:tcW w:w="1028" w:type="dxa"/>
            <w:vAlign w:val="bottom"/>
          </w:tcPr>
          <w:p w14:paraId="5ADE7A3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0.97</w:t>
            </w:r>
          </w:p>
        </w:tc>
      </w:tr>
      <w:tr w:rsidR="00E104F7" w:rsidRPr="00E104F7" w14:paraId="77430100" w14:textId="77777777" w:rsidTr="00B14A2B">
        <w:trPr>
          <w:jc w:val="center"/>
        </w:trPr>
        <w:tc>
          <w:tcPr>
            <w:tcW w:w="2965" w:type="dxa"/>
          </w:tcPr>
          <w:p w14:paraId="4EC3FAA1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Creatinine</w:t>
            </w:r>
          </w:p>
        </w:tc>
        <w:tc>
          <w:tcPr>
            <w:tcW w:w="2160" w:type="dxa"/>
            <w:vAlign w:val="bottom"/>
          </w:tcPr>
          <w:p w14:paraId="4F72E0E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1.00 [0.80-1.20]</w:t>
            </w:r>
          </w:p>
        </w:tc>
        <w:tc>
          <w:tcPr>
            <w:tcW w:w="2212" w:type="dxa"/>
            <w:vAlign w:val="bottom"/>
          </w:tcPr>
          <w:p w14:paraId="052C00A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0.98 [0.80-1.10]</w:t>
            </w:r>
          </w:p>
        </w:tc>
        <w:tc>
          <w:tcPr>
            <w:tcW w:w="1028" w:type="dxa"/>
            <w:vAlign w:val="bottom"/>
          </w:tcPr>
          <w:p w14:paraId="0420BEC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</w:tr>
      <w:tr w:rsidR="00E104F7" w:rsidRPr="00E104F7" w14:paraId="32224440" w14:textId="77777777" w:rsidTr="00B14A2B">
        <w:trPr>
          <w:jc w:val="center"/>
        </w:trPr>
        <w:tc>
          <w:tcPr>
            <w:tcW w:w="2965" w:type="dxa"/>
          </w:tcPr>
          <w:p w14:paraId="608A45C0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Prosthetic valve type</w:t>
            </w:r>
          </w:p>
          <w:p w14:paraId="33A2AE0B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Bioprosthetic</w:t>
            </w:r>
          </w:p>
          <w:p w14:paraId="02FBA6EE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Mechanical</w:t>
            </w:r>
          </w:p>
          <w:p w14:paraId="0B3F9E27" w14:textId="77777777" w:rsidR="00E104F7" w:rsidRPr="00E104F7" w:rsidRDefault="00E104F7" w:rsidP="00E3153A">
            <w:pPr>
              <w:spacing w:before="156" w:after="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Unknown</w:t>
            </w:r>
          </w:p>
        </w:tc>
        <w:tc>
          <w:tcPr>
            <w:tcW w:w="2160" w:type="dxa"/>
            <w:vAlign w:val="bottom"/>
          </w:tcPr>
          <w:p w14:paraId="22A2FFA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36B76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660 (57.69%)</w:t>
            </w:r>
          </w:p>
          <w:p w14:paraId="68278E4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353 (30.86%)</w:t>
            </w:r>
          </w:p>
          <w:p w14:paraId="508AFCF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131 (11.45%)</w:t>
            </w:r>
          </w:p>
        </w:tc>
        <w:tc>
          <w:tcPr>
            <w:tcW w:w="2212" w:type="dxa"/>
          </w:tcPr>
          <w:p w14:paraId="7F172CC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EA098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831 (75.82%)</w:t>
            </w:r>
          </w:p>
          <w:p w14:paraId="2D03C541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164 (14.96%)</w:t>
            </w:r>
          </w:p>
          <w:p w14:paraId="04B326E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101 (9.22%)</w:t>
            </w:r>
          </w:p>
        </w:tc>
        <w:tc>
          <w:tcPr>
            <w:tcW w:w="1028" w:type="dxa"/>
          </w:tcPr>
          <w:p w14:paraId="67E75E8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</w:tbl>
    <w:p w14:paraId="67A1119B" w14:textId="77777777" w:rsidR="00E104F7" w:rsidRPr="00E104F7" w:rsidRDefault="00E104F7" w:rsidP="00E104F7">
      <w:pPr>
        <w:spacing w:beforeLines="100" w:before="312" w:afterLines="100" w:after="312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4F7">
        <w:rPr>
          <w:rFonts w:ascii="Times New Roman" w:hAnsi="Times New Roman"/>
          <w:b/>
          <w:bCs/>
          <w:sz w:val="24"/>
          <w:szCs w:val="24"/>
        </w:rPr>
        <w:t>Supplementary Table 2. Postoperative Clinical and Echocardiographic Outcomes in the entire cohort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220"/>
        <w:gridCol w:w="2160"/>
        <w:gridCol w:w="921"/>
      </w:tblGrid>
      <w:tr w:rsidR="00E104F7" w:rsidRPr="00E104F7" w14:paraId="298E3BA0" w14:textId="77777777" w:rsidTr="003B12C9">
        <w:trPr>
          <w:jc w:val="center"/>
        </w:trPr>
        <w:tc>
          <w:tcPr>
            <w:tcW w:w="2995" w:type="dxa"/>
          </w:tcPr>
          <w:p w14:paraId="292D56A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220" w:type="dxa"/>
          </w:tcPr>
          <w:p w14:paraId="4B621B5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Nonpledgeted (n=1144)</w:t>
            </w:r>
          </w:p>
        </w:tc>
        <w:tc>
          <w:tcPr>
            <w:tcW w:w="2160" w:type="dxa"/>
          </w:tcPr>
          <w:p w14:paraId="0DC0785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Pledgeted (n=1096)</w:t>
            </w:r>
          </w:p>
        </w:tc>
        <w:tc>
          <w:tcPr>
            <w:tcW w:w="921" w:type="dxa"/>
          </w:tcPr>
          <w:p w14:paraId="2BD51B8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F7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104F7" w:rsidRPr="00E104F7" w14:paraId="7A71F0AC" w14:textId="77777777" w:rsidTr="003B12C9">
        <w:trPr>
          <w:jc w:val="center"/>
        </w:trPr>
        <w:tc>
          <w:tcPr>
            <w:tcW w:w="2995" w:type="dxa"/>
          </w:tcPr>
          <w:p w14:paraId="50922F55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Operative mortality (STS definition)</w:t>
            </w:r>
          </w:p>
        </w:tc>
        <w:tc>
          <w:tcPr>
            <w:tcW w:w="2220" w:type="dxa"/>
            <w:vAlign w:val="bottom"/>
          </w:tcPr>
          <w:p w14:paraId="132EB14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32 (2.80%)</w:t>
            </w:r>
          </w:p>
        </w:tc>
        <w:tc>
          <w:tcPr>
            <w:tcW w:w="2160" w:type="dxa"/>
            <w:vAlign w:val="bottom"/>
          </w:tcPr>
          <w:p w14:paraId="01541C7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20 (1.82%)</w:t>
            </w:r>
          </w:p>
        </w:tc>
        <w:tc>
          <w:tcPr>
            <w:tcW w:w="921" w:type="dxa"/>
            <w:vAlign w:val="bottom"/>
          </w:tcPr>
          <w:p w14:paraId="12D46D4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</w:tr>
      <w:tr w:rsidR="00E104F7" w:rsidRPr="00E104F7" w14:paraId="00744134" w14:textId="77777777" w:rsidTr="003B12C9">
        <w:trPr>
          <w:jc w:val="center"/>
        </w:trPr>
        <w:tc>
          <w:tcPr>
            <w:tcW w:w="2995" w:type="dxa"/>
          </w:tcPr>
          <w:p w14:paraId="002AE9B1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Reoperation (for any cause)</w:t>
            </w:r>
          </w:p>
        </w:tc>
        <w:tc>
          <w:tcPr>
            <w:tcW w:w="2220" w:type="dxa"/>
            <w:vAlign w:val="bottom"/>
          </w:tcPr>
          <w:p w14:paraId="0953D61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87 (7.60%)</w:t>
            </w:r>
          </w:p>
        </w:tc>
        <w:tc>
          <w:tcPr>
            <w:tcW w:w="2160" w:type="dxa"/>
            <w:vAlign w:val="bottom"/>
          </w:tcPr>
          <w:p w14:paraId="7048D8F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59 (5.38%)</w:t>
            </w:r>
          </w:p>
        </w:tc>
        <w:tc>
          <w:tcPr>
            <w:tcW w:w="921" w:type="dxa"/>
            <w:vAlign w:val="bottom"/>
          </w:tcPr>
          <w:p w14:paraId="35B8752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</w:tr>
      <w:tr w:rsidR="00E104F7" w:rsidRPr="00E104F7" w14:paraId="7E7E94A8" w14:textId="77777777" w:rsidTr="003B12C9">
        <w:trPr>
          <w:jc w:val="center"/>
        </w:trPr>
        <w:tc>
          <w:tcPr>
            <w:tcW w:w="2995" w:type="dxa"/>
          </w:tcPr>
          <w:p w14:paraId="06F6130E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Blood product transfusion</w:t>
            </w:r>
          </w:p>
        </w:tc>
        <w:tc>
          <w:tcPr>
            <w:tcW w:w="2220" w:type="dxa"/>
            <w:vAlign w:val="bottom"/>
          </w:tcPr>
          <w:p w14:paraId="2945A52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294 (25.70%)</w:t>
            </w:r>
          </w:p>
        </w:tc>
        <w:tc>
          <w:tcPr>
            <w:tcW w:w="2160" w:type="dxa"/>
            <w:vAlign w:val="bottom"/>
          </w:tcPr>
          <w:p w14:paraId="6FDE915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325 (29.65%)</w:t>
            </w:r>
          </w:p>
        </w:tc>
        <w:tc>
          <w:tcPr>
            <w:tcW w:w="921" w:type="dxa"/>
            <w:vAlign w:val="bottom"/>
          </w:tcPr>
          <w:p w14:paraId="4879AA1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</w:tr>
      <w:tr w:rsidR="00E104F7" w:rsidRPr="00E104F7" w14:paraId="6778E70B" w14:textId="77777777" w:rsidTr="003B12C9">
        <w:trPr>
          <w:jc w:val="center"/>
        </w:trPr>
        <w:tc>
          <w:tcPr>
            <w:tcW w:w="2995" w:type="dxa"/>
          </w:tcPr>
          <w:p w14:paraId="5919F79A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Stroke</w:t>
            </w:r>
          </w:p>
        </w:tc>
        <w:tc>
          <w:tcPr>
            <w:tcW w:w="2220" w:type="dxa"/>
            <w:vAlign w:val="bottom"/>
          </w:tcPr>
          <w:p w14:paraId="543CB17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23 (2.01%)</w:t>
            </w:r>
          </w:p>
        </w:tc>
        <w:tc>
          <w:tcPr>
            <w:tcW w:w="2160" w:type="dxa"/>
            <w:vAlign w:val="bottom"/>
          </w:tcPr>
          <w:p w14:paraId="377169B1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16 (1.46%)</w:t>
            </w:r>
          </w:p>
        </w:tc>
        <w:tc>
          <w:tcPr>
            <w:tcW w:w="921" w:type="dxa"/>
            <w:vAlign w:val="bottom"/>
          </w:tcPr>
          <w:p w14:paraId="14F0730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0.32</w:t>
            </w:r>
          </w:p>
        </w:tc>
      </w:tr>
      <w:tr w:rsidR="00E104F7" w:rsidRPr="00E104F7" w14:paraId="25968341" w14:textId="77777777" w:rsidTr="003B12C9">
        <w:trPr>
          <w:jc w:val="center"/>
        </w:trPr>
        <w:tc>
          <w:tcPr>
            <w:tcW w:w="2995" w:type="dxa"/>
          </w:tcPr>
          <w:p w14:paraId="2444909A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Prolonged ventilation (&gt;24hrs)</w:t>
            </w:r>
          </w:p>
        </w:tc>
        <w:tc>
          <w:tcPr>
            <w:tcW w:w="2220" w:type="dxa"/>
            <w:vAlign w:val="bottom"/>
          </w:tcPr>
          <w:p w14:paraId="756C243B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88 (7.69%)</w:t>
            </w:r>
          </w:p>
        </w:tc>
        <w:tc>
          <w:tcPr>
            <w:tcW w:w="2160" w:type="dxa"/>
            <w:vAlign w:val="bottom"/>
          </w:tcPr>
          <w:p w14:paraId="50B6E5C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65 (5.93%)</w:t>
            </w:r>
          </w:p>
        </w:tc>
        <w:tc>
          <w:tcPr>
            <w:tcW w:w="921" w:type="dxa"/>
            <w:vAlign w:val="bottom"/>
          </w:tcPr>
          <w:p w14:paraId="139A680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0.10</w:t>
            </w:r>
          </w:p>
        </w:tc>
      </w:tr>
      <w:tr w:rsidR="00E104F7" w:rsidRPr="00E104F7" w14:paraId="7476DEED" w14:textId="77777777" w:rsidTr="003B12C9">
        <w:trPr>
          <w:jc w:val="center"/>
        </w:trPr>
        <w:tc>
          <w:tcPr>
            <w:tcW w:w="2995" w:type="dxa"/>
          </w:tcPr>
          <w:p w14:paraId="1A3627DC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New-onset renal failure</w:t>
            </w:r>
          </w:p>
        </w:tc>
        <w:tc>
          <w:tcPr>
            <w:tcW w:w="2220" w:type="dxa"/>
            <w:vAlign w:val="bottom"/>
          </w:tcPr>
          <w:p w14:paraId="2AA3F53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34 (2.97%)</w:t>
            </w:r>
          </w:p>
        </w:tc>
        <w:tc>
          <w:tcPr>
            <w:tcW w:w="2160" w:type="dxa"/>
            <w:vAlign w:val="bottom"/>
          </w:tcPr>
          <w:p w14:paraId="6F02439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21 (1.92%)</w:t>
            </w:r>
          </w:p>
        </w:tc>
        <w:tc>
          <w:tcPr>
            <w:tcW w:w="921" w:type="dxa"/>
            <w:vAlign w:val="bottom"/>
          </w:tcPr>
          <w:p w14:paraId="44E7320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</w:tr>
      <w:tr w:rsidR="00E104F7" w:rsidRPr="00E104F7" w14:paraId="7C95997A" w14:textId="77777777" w:rsidTr="003B12C9">
        <w:trPr>
          <w:jc w:val="center"/>
        </w:trPr>
        <w:tc>
          <w:tcPr>
            <w:tcW w:w="2995" w:type="dxa"/>
          </w:tcPr>
          <w:p w14:paraId="0F5326A2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Atrial fibrillation</w:t>
            </w:r>
          </w:p>
        </w:tc>
        <w:tc>
          <w:tcPr>
            <w:tcW w:w="2220" w:type="dxa"/>
            <w:vAlign w:val="bottom"/>
          </w:tcPr>
          <w:p w14:paraId="03FDC3F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400 (34.97%)</w:t>
            </w:r>
          </w:p>
        </w:tc>
        <w:tc>
          <w:tcPr>
            <w:tcW w:w="2160" w:type="dxa"/>
            <w:vAlign w:val="bottom"/>
          </w:tcPr>
          <w:p w14:paraId="395457B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401 (36.59%)</w:t>
            </w:r>
          </w:p>
        </w:tc>
        <w:tc>
          <w:tcPr>
            <w:tcW w:w="921" w:type="dxa"/>
            <w:vAlign w:val="bottom"/>
          </w:tcPr>
          <w:p w14:paraId="73B4DD2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0.42</w:t>
            </w:r>
          </w:p>
        </w:tc>
      </w:tr>
      <w:tr w:rsidR="00E104F7" w:rsidRPr="00E104F7" w14:paraId="6120E12E" w14:textId="77777777" w:rsidTr="003B12C9">
        <w:trPr>
          <w:jc w:val="center"/>
        </w:trPr>
        <w:tc>
          <w:tcPr>
            <w:tcW w:w="2995" w:type="dxa"/>
          </w:tcPr>
          <w:p w14:paraId="122DDBE1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Length of stay (days)</w:t>
            </w:r>
          </w:p>
        </w:tc>
        <w:tc>
          <w:tcPr>
            <w:tcW w:w="2220" w:type="dxa"/>
            <w:vAlign w:val="bottom"/>
          </w:tcPr>
          <w:p w14:paraId="0458F24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6.00 [5.00-9.00]</w:t>
            </w:r>
          </w:p>
        </w:tc>
        <w:tc>
          <w:tcPr>
            <w:tcW w:w="2160" w:type="dxa"/>
            <w:vAlign w:val="bottom"/>
          </w:tcPr>
          <w:p w14:paraId="63532F5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7.00 [5.00-10.00]</w:t>
            </w:r>
          </w:p>
        </w:tc>
        <w:tc>
          <w:tcPr>
            <w:tcW w:w="921" w:type="dxa"/>
            <w:vAlign w:val="bottom"/>
          </w:tcPr>
          <w:p w14:paraId="094CC4A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</w:p>
        </w:tc>
      </w:tr>
      <w:tr w:rsidR="00E104F7" w:rsidRPr="00E104F7" w14:paraId="4CC66272" w14:textId="77777777" w:rsidTr="003B12C9">
        <w:trPr>
          <w:jc w:val="center"/>
        </w:trPr>
        <w:tc>
          <w:tcPr>
            <w:tcW w:w="2995" w:type="dxa"/>
            <w:shd w:val="clear" w:color="auto" w:fill="auto"/>
          </w:tcPr>
          <w:p w14:paraId="456B897D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lastRenderedPageBreak/>
              <w:t>Mean aortic valve gradient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498649D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8.00 [6.00-10.00]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FCB973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11.00 [8.00-16.00]</w:t>
            </w:r>
          </w:p>
        </w:tc>
        <w:tc>
          <w:tcPr>
            <w:tcW w:w="921" w:type="dxa"/>
            <w:shd w:val="clear" w:color="auto" w:fill="auto"/>
            <w:vAlign w:val="bottom"/>
          </w:tcPr>
          <w:p w14:paraId="0076131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</w:p>
        </w:tc>
      </w:tr>
      <w:tr w:rsidR="00E104F7" w:rsidRPr="00E104F7" w14:paraId="633F3CA0" w14:textId="77777777" w:rsidTr="003B12C9">
        <w:trPr>
          <w:jc w:val="center"/>
        </w:trPr>
        <w:tc>
          <w:tcPr>
            <w:tcW w:w="2995" w:type="dxa"/>
            <w:shd w:val="clear" w:color="auto" w:fill="auto"/>
          </w:tcPr>
          <w:p w14:paraId="71BB7F23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Aortic Regurgitation</w:t>
            </w:r>
          </w:p>
          <w:p w14:paraId="41095135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Trace</w:t>
            </w:r>
          </w:p>
          <w:p w14:paraId="1D7D42E3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Mild</w:t>
            </w:r>
          </w:p>
          <w:p w14:paraId="697BAFC4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Moderate</w:t>
            </w:r>
          </w:p>
          <w:p w14:paraId="4912DFF9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Severe</w:t>
            </w:r>
          </w:p>
        </w:tc>
        <w:tc>
          <w:tcPr>
            <w:tcW w:w="2220" w:type="dxa"/>
            <w:shd w:val="clear" w:color="auto" w:fill="auto"/>
          </w:tcPr>
          <w:p w14:paraId="7427314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99E76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286 (25.00%)</w:t>
            </w:r>
          </w:p>
          <w:p w14:paraId="115025D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79 (6.91%)</w:t>
            </w:r>
          </w:p>
          <w:p w14:paraId="4AC7F8B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16 (1.40%)</w:t>
            </w:r>
          </w:p>
          <w:p w14:paraId="749CDE30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4 (0.35%)</w:t>
            </w:r>
          </w:p>
        </w:tc>
        <w:tc>
          <w:tcPr>
            <w:tcW w:w="2160" w:type="dxa"/>
            <w:shd w:val="clear" w:color="auto" w:fill="auto"/>
          </w:tcPr>
          <w:p w14:paraId="4104DE9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CD438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167 (15.24%)</w:t>
            </w:r>
          </w:p>
          <w:p w14:paraId="1CC6687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90 (8.21%)</w:t>
            </w:r>
          </w:p>
          <w:p w14:paraId="02A2B4A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25 (2.28%)</w:t>
            </w:r>
          </w:p>
          <w:p w14:paraId="36F994E8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6 (0.55%)</w:t>
            </w:r>
          </w:p>
        </w:tc>
        <w:tc>
          <w:tcPr>
            <w:tcW w:w="921" w:type="dxa"/>
            <w:shd w:val="clear" w:color="auto" w:fill="auto"/>
          </w:tcPr>
          <w:p w14:paraId="1FD25623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E104F7" w:rsidRPr="00E104F7" w14:paraId="791CDB9A" w14:textId="77777777" w:rsidTr="003B12C9">
        <w:trPr>
          <w:jc w:val="center"/>
        </w:trPr>
        <w:tc>
          <w:tcPr>
            <w:tcW w:w="2995" w:type="dxa"/>
            <w:shd w:val="clear" w:color="auto" w:fill="auto"/>
          </w:tcPr>
          <w:p w14:paraId="0C05C402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Paravalvular leak</w:t>
            </w:r>
          </w:p>
          <w:p w14:paraId="543D3A32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Trace</w:t>
            </w:r>
          </w:p>
          <w:p w14:paraId="4BEE7637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Mild</w:t>
            </w:r>
          </w:p>
          <w:p w14:paraId="163A04F5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Moderate</w:t>
            </w:r>
          </w:p>
          <w:p w14:paraId="4ADCF0D6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 xml:space="preserve">  Severe</w:t>
            </w:r>
          </w:p>
        </w:tc>
        <w:tc>
          <w:tcPr>
            <w:tcW w:w="2220" w:type="dxa"/>
            <w:shd w:val="clear" w:color="auto" w:fill="auto"/>
          </w:tcPr>
          <w:p w14:paraId="191026AC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861AA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28 (2.45%)</w:t>
            </w:r>
          </w:p>
          <w:p w14:paraId="25B76DA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13 (1.14%)</w:t>
            </w:r>
          </w:p>
          <w:p w14:paraId="08F78B86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3 (0.26%)</w:t>
            </w:r>
          </w:p>
          <w:p w14:paraId="1BB048F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2 (0.17%)</w:t>
            </w:r>
          </w:p>
        </w:tc>
        <w:tc>
          <w:tcPr>
            <w:tcW w:w="2160" w:type="dxa"/>
            <w:shd w:val="clear" w:color="auto" w:fill="auto"/>
          </w:tcPr>
          <w:p w14:paraId="54EB981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36E0A7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30 (2.74%)</w:t>
            </w:r>
          </w:p>
          <w:p w14:paraId="6D55643F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22 (2.01%)</w:t>
            </w:r>
          </w:p>
          <w:p w14:paraId="7FF3AF35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5 (0.46%)</w:t>
            </w:r>
          </w:p>
          <w:p w14:paraId="42957ADE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4 (0.36%)</w:t>
            </w:r>
          </w:p>
        </w:tc>
        <w:tc>
          <w:tcPr>
            <w:tcW w:w="921" w:type="dxa"/>
            <w:shd w:val="clear" w:color="auto" w:fill="auto"/>
          </w:tcPr>
          <w:p w14:paraId="7B975ECD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E104F7" w:rsidRPr="00E104F7" w14:paraId="621EC034" w14:textId="77777777" w:rsidTr="003B12C9">
        <w:trPr>
          <w:jc w:val="center"/>
        </w:trPr>
        <w:tc>
          <w:tcPr>
            <w:tcW w:w="2995" w:type="dxa"/>
            <w:shd w:val="clear" w:color="auto" w:fill="auto"/>
          </w:tcPr>
          <w:p w14:paraId="632189D2" w14:textId="77777777" w:rsidR="00E104F7" w:rsidRPr="00E104F7" w:rsidRDefault="00E104F7" w:rsidP="00D744CE">
            <w:pPr>
              <w:spacing w:before="156" w:after="156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hAnsi="Times New Roman"/>
                <w:sz w:val="24"/>
                <w:szCs w:val="24"/>
              </w:rPr>
              <w:t>Ejection fraction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18B12644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55.00 [55.00-60.00]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F15C489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55.00 [52.50-60.00]</w:t>
            </w:r>
          </w:p>
        </w:tc>
        <w:tc>
          <w:tcPr>
            <w:tcW w:w="921" w:type="dxa"/>
            <w:shd w:val="clear" w:color="auto" w:fill="auto"/>
            <w:vAlign w:val="bottom"/>
          </w:tcPr>
          <w:p w14:paraId="6121A0B2" w14:textId="77777777" w:rsidR="00E104F7" w:rsidRPr="00E104F7" w:rsidRDefault="00E104F7" w:rsidP="00E3153A">
            <w:pPr>
              <w:spacing w:before="156" w:after="1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F7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</w:tr>
    </w:tbl>
    <w:p w14:paraId="50C0682D" w14:textId="77777777" w:rsidR="00000000" w:rsidRPr="00612896" w:rsidRDefault="00000000">
      <w:pPr>
        <w:rPr>
          <w:rFonts w:ascii="Times New Roman" w:hAnsi="Times New Roman"/>
          <w:sz w:val="24"/>
          <w:szCs w:val="24"/>
        </w:rPr>
      </w:pPr>
    </w:p>
    <w:p w14:paraId="006965A9" w14:textId="5C9B94FD" w:rsidR="00B81F7D" w:rsidRDefault="00612896" w:rsidP="00612896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12896">
        <w:rPr>
          <w:rFonts w:ascii="Times New Roman" w:hAnsi="Times New Roman"/>
          <w:b/>
          <w:bCs/>
          <w:color w:val="auto"/>
          <w:sz w:val="24"/>
          <w:szCs w:val="24"/>
        </w:rPr>
        <w:t>Supplementary Table 3</w:t>
      </w:r>
      <w:r w:rsidRPr="00612896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81F7D" w:rsidRPr="00612896">
        <w:rPr>
          <w:rFonts w:ascii="Times New Roman" w:hAnsi="Times New Roman"/>
          <w:b/>
          <w:bCs/>
          <w:color w:val="auto"/>
          <w:sz w:val="24"/>
          <w:szCs w:val="24"/>
        </w:rPr>
        <w:t>Number and percentage of nonpledgeted and pledgeted AVRs per year</w:t>
      </w:r>
    </w:p>
    <w:p w14:paraId="75DE6D6F" w14:textId="77777777" w:rsidR="00612896" w:rsidRPr="00612896" w:rsidRDefault="00612896" w:rsidP="00612896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5186" w:type="dxa"/>
        <w:jc w:val="center"/>
        <w:tblLook w:val="04A0" w:firstRow="1" w:lastRow="0" w:firstColumn="1" w:lastColumn="0" w:noHBand="0" w:noVBand="1"/>
      </w:tblPr>
      <w:tblGrid>
        <w:gridCol w:w="967"/>
        <w:gridCol w:w="1783"/>
        <w:gridCol w:w="1607"/>
        <w:gridCol w:w="829"/>
      </w:tblGrid>
      <w:tr w:rsidR="00B81F7D" w:rsidRPr="00B81F7D" w14:paraId="195877E5" w14:textId="77777777" w:rsidTr="00612896">
        <w:trPr>
          <w:trHeight w:val="311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hideMark/>
          </w:tcPr>
          <w:p w14:paraId="601476FD" w14:textId="42A9CDA4" w:rsidR="00B81F7D" w:rsidRPr="00612896" w:rsidRDefault="00612896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Year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C25C0A0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Nonpledgeted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F5B5F24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Pledgeted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F5DB795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Total</w:t>
            </w:r>
          </w:p>
        </w:tc>
      </w:tr>
      <w:tr w:rsidR="00B81F7D" w:rsidRPr="00B81F7D" w14:paraId="037432C1" w14:textId="77777777" w:rsidTr="00612896">
        <w:trPr>
          <w:trHeight w:val="436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71FC3879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2011</w:t>
            </w:r>
          </w:p>
        </w:tc>
        <w:tc>
          <w:tcPr>
            <w:tcW w:w="17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740F6135" w14:textId="5F87A404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43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48.86%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D1113A3" w14:textId="04C98FF6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45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51.14%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632AFE8C" w14:textId="0F31F48B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88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345AE58F" w14:textId="77777777" w:rsidTr="00612896">
        <w:trPr>
          <w:trHeight w:val="445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1BCBCD30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2012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748B7151" w14:textId="184D47F8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96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42.86%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24872A30" w14:textId="6CF2DB56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128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57.14%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706A2D5B" w14:textId="0A7F2635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224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6E598261" w14:textId="77777777" w:rsidTr="00612896">
        <w:trPr>
          <w:trHeight w:val="431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1E256F33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2013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1D27BF9C" w14:textId="0237A278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100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42.02%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18EE9379" w14:textId="12600CB9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138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57.98%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139C4D98" w14:textId="4AE96B16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238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68B06C58" w14:textId="77777777" w:rsidTr="00612896">
        <w:trPr>
          <w:trHeight w:val="413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7AEBABFC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2014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3E31E034" w14:textId="06071BDB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106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42.91%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1A72F5E5" w14:textId="79BD4C45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141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57.09%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47502536" w14:textId="77BE0ECB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247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463586F9" w14:textId="77777777" w:rsidTr="00612896">
        <w:trPr>
          <w:trHeight w:val="454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5339631B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2015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5B9BD54E" w14:textId="67C30C1B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118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39.46%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452EAA8" w14:textId="5FFF1B30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181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60.54%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7C00CFEC" w14:textId="514A7FDA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299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0962A0A4" w14:textId="77777777" w:rsidTr="00612896">
        <w:trPr>
          <w:trHeight w:val="445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0E87CA10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2016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A5F85DB" w14:textId="0E5A2343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91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38.56%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D9EE553" w14:textId="401C2778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145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61.44%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23D04E90" w14:textId="32179CA5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236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42024F75" w14:textId="77777777" w:rsidTr="00612896">
        <w:trPr>
          <w:trHeight w:val="454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27B95B24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2017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CEA4A53" w14:textId="5480D966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135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60.27%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13320841" w14:textId="58DB8260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89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39.73%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1735EA3" w14:textId="4EE14699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224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20512FC9" w14:textId="77777777" w:rsidTr="00612896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6DAF16D7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2018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710C2B84" w14:textId="5FDF2D23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191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66.78%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7AEE5911" w14:textId="48284E53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95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33.22%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24DBD398" w14:textId="335E418F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286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214C0135" w14:textId="77777777" w:rsidTr="00612896">
        <w:trPr>
          <w:trHeight w:val="361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65A2E305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2019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34EC2F14" w14:textId="40A1C9E7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157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67.67%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63D6DA32" w14:textId="11DBACC9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75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32.33%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447D9864" w14:textId="4205ECF5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232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  <w:tr w:rsidR="00B81F7D" w:rsidRPr="00B81F7D" w14:paraId="2A4B7000" w14:textId="77777777" w:rsidTr="00612896">
        <w:trPr>
          <w:trHeight w:val="454"/>
          <w:jc w:val="center"/>
        </w:trPr>
        <w:tc>
          <w:tcPr>
            <w:tcW w:w="967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hideMark/>
          </w:tcPr>
          <w:p w14:paraId="7BD70FAA" w14:textId="77777777" w:rsidR="00B81F7D" w:rsidRPr="00612896" w:rsidRDefault="00B81F7D" w:rsidP="00612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2020</w:t>
            </w:r>
          </w:p>
        </w:tc>
        <w:tc>
          <w:tcPr>
            <w:tcW w:w="1783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0480DC8E" w14:textId="3829B476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107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64.46%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5E99E75C" w14:textId="02250BFD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59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(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35.54%</w:t>
            </w:r>
            <w:r w:rsidR="00612896" w:rsidRPr="00612896"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14:paraId="514DA1F7" w14:textId="78603CF4" w:rsidR="00B81F7D" w:rsidRPr="00612896" w:rsidRDefault="00B81F7D" w:rsidP="00612896">
            <w:pPr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t>166</w:t>
            </w:r>
            <w:r w:rsidRPr="00612896">
              <w:rPr>
                <w:rFonts w:ascii="Times New Roman" w:hAnsi="Times New Roman"/>
                <w:color w:val="auto"/>
                <w:sz w:val="21"/>
                <w:szCs w:val="21"/>
              </w:rPr>
              <w:br/>
            </w:r>
          </w:p>
        </w:tc>
      </w:tr>
    </w:tbl>
    <w:p w14:paraId="2B147FBA" w14:textId="77777777" w:rsidR="00B81F7D" w:rsidRPr="00B81F7D" w:rsidRDefault="00B81F7D" w:rsidP="00B81F7D">
      <w:pPr>
        <w:pStyle w:val="ListParagraph"/>
        <w:ind w:firstLine="480"/>
      </w:pPr>
    </w:p>
    <w:p w14:paraId="4C74C03C" w14:textId="77777777" w:rsidR="00B81F7D" w:rsidRPr="00B81F7D" w:rsidRDefault="00B81F7D" w:rsidP="00B81F7D">
      <w:pPr>
        <w:pStyle w:val="ListParagraph"/>
        <w:ind w:firstLine="480"/>
      </w:pPr>
    </w:p>
    <w:p w14:paraId="35FFAA72" w14:textId="6E8C3C23" w:rsidR="00B81F7D" w:rsidRDefault="00612896" w:rsidP="00612896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12896">
        <w:rPr>
          <w:rFonts w:ascii="Times New Roman" w:hAnsi="Times New Roman"/>
          <w:b/>
          <w:bCs/>
          <w:color w:val="auto"/>
          <w:sz w:val="24"/>
          <w:szCs w:val="24"/>
        </w:rPr>
        <w:t>Supplementary table 4</w:t>
      </w:r>
      <w:r w:rsidRPr="00612896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81F7D" w:rsidRPr="00612896">
        <w:rPr>
          <w:rFonts w:ascii="Times New Roman" w:hAnsi="Times New Roman"/>
          <w:b/>
          <w:bCs/>
          <w:color w:val="auto"/>
          <w:sz w:val="24"/>
          <w:szCs w:val="24"/>
        </w:rPr>
        <w:t>Outcomes of nonpledgeted and pledgeted AVR according to year</w:t>
      </w:r>
    </w:p>
    <w:p w14:paraId="6D195A65" w14:textId="77777777" w:rsidR="00612896" w:rsidRPr="00612896" w:rsidRDefault="00612896" w:rsidP="00612896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TableGrid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2160"/>
        <w:gridCol w:w="2070"/>
        <w:gridCol w:w="2075"/>
        <w:gridCol w:w="1440"/>
      </w:tblGrid>
      <w:tr w:rsidR="00B81F7D" w:rsidRPr="00B81F7D" w14:paraId="7604ADEE" w14:textId="77777777" w:rsidTr="00612896">
        <w:trPr>
          <w:jc w:val="center"/>
        </w:trPr>
        <w:tc>
          <w:tcPr>
            <w:tcW w:w="1525" w:type="dxa"/>
          </w:tcPr>
          <w:p w14:paraId="2C3A996D" w14:textId="77777777" w:rsidR="00B81F7D" w:rsidRPr="00612896" w:rsidRDefault="00B81F7D" w:rsidP="00DE0D05">
            <w:pPr>
              <w:pStyle w:val="ListParagraph"/>
              <w:spacing w:before="0"/>
              <w:ind w:left="0" w:right="130" w:firstLine="42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128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2160" w:type="dxa"/>
          </w:tcPr>
          <w:p w14:paraId="5F1CC569" w14:textId="77777777" w:rsidR="00B81F7D" w:rsidRPr="00612896" w:rsidRDefault="00B81F7D" w:rsidP="00DE0D05">
            <w:pPr>
              <w:pStyle w:val="ListParagraph"/>
              <w:spacing w:before="0"/>
              <w:ind w:left="0" w:right="130" w:firstLine="42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128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Outcomes</w:t>
            </w:r>
          </w:p>
        </w:tc>
        <w:tc>
          <w:tcPr>
            <w:tcW w:w="2070" w:type="dxa"/>
          </w:tcPr>
          <w:p w14:paraId="6DCE2CAD" w14:textId="77777777" w:rsidR="00B81F7D" w:rsidRPr="00612896" w:rsidRDefault="00B81F7D" w:rsidP="00DE0D05">
            <w:pPr>
              <w:pStyle w:val="ListParagraph"/>
              <w:spacing w:before="0"/>
              <w:ind w:left="0" w:right="130" w:firstLine="42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128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Nonpledgeted</w:t>
            </w:r>
            <w:proofErr w:type="spellEnd"/>
          </w:p>
        </w:tc>
        <w:tc>
          <w:tcPr>
            <w:tcW w:w="2075" w:type="dxa"/>
          </w:tcPr>
          <w:p w14:paraId="1994D965" w14:textId="77777777" w:rsidR="00B81F7D" w:rsidRPr="00612896" w:rsidRDefault="00B81F7D" w:rsidP="00DE0D05">
            <w:pPr>
              <w:pStyle w:val="ListParagraph"/>
              <w:spacing w:before="0"/>
              <w:ind w:left="0" w:right="130" w:firstLine="42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6128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Pledgeted</w:t>
            </w:r>
            <w:proofErr w:type="spellEnd"/>
          </w:p>
        </w:tc>
        <w:tc>
          <w:tcPr>
            <w:tcW w:w="1440" w:type="dxa"/>
          </w:tcPr>
          <w:p w14:paraId="7E64A46C" w14:textId="77777777" w:rsidR="00B81F7D" w:rsidRPr="00612896" w:rsidRDefault="00B81F7D" w:rsidP="00DE0D05">
            <w:pPr>
              <w:pStyle w:val="ListParagraph"/>
              <w:spacing w:before="0"/>
              <w:ind w:left="0" w:right="130" w:firstLine="42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128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 value</w:t>
            </w:r>
          </w:p>
        </w:tc>
      </w:tr>
      <w:tr w:rsidR="00B81F7D" w:rsidRPr="00B81F7D" w14:paraId="64A56917" w14:textId="77777777" w:rsidTr="00612896">
        <w:trPr>
          <w:jc w:val="center"/>
        </w:trPr>
        <w:tc>
          <w:tcPr>
            <w:tcW w:w="1525" w:type="dxa"/>
          </w:tcPr>
          <w:p w14:paraId="2C91767A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60" w:type="dxa"/>
          </w:tcPr>
          <w:p w14:paraId="637AF94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7FB98276" w14:textId="674D005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(48.84%)</w:t>
            </w:r>
          </w:p>
        </w:tc>
        <w:tc>
          <w:tcPr>
            <w:tcW w:w="2075" w:type="dxa"/>
          </w:tcPr>
          <w:p w14:paraId="0ACEE421" w14:textId="6C5C7E25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(46.67%)</w:t>
            </w:r>
          </w:p>
        </w:tc>
        <w:tc>
          <w:tcPr>
            <w:tcW w:w="1440" w:type="dxa"/>
          </w:tcPr>
          <w:p w14:paraId="3E1271D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81F7D" w:rsidRPr="00B81F7D" w14:paraId="0730F704" w14:textId="77777777" w:rsidTr="00612896">
        <w:trPr>
          <w:jc w:val="center"/>
        </w:trPr>
        <w:tc>
          <w:tcPr>
            <w:tcW w:w="1525" w:type="dxa"/>
          </w:tcPr>
          <w:p w14:paraId="38BD9576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1B9E3E" w14:textId="294097B6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2A928A37" w14:textId="1012F7FA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(58.14%)</w:t>
            </w:r>
          </w:p>
        </w:tc>
        <w:tc>
          <w:tcPr>
            <w:tcW w:w="2075" w:type="dxa"/>
          </w:tcPr>
          <w:p w14:paraId="52CD23B7" w14:textId="104619E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(71.11%)</w:t>
            </w:r>
          </w:p>
        </w:tc>
        <w:tc>
          <w:tcPr>
            <w:tcW w:w="1440" w:type="dxa"/>
          </w:tcPr>
          <w:p w14:paraId="22E0051D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B81F7D" w:rsidRPr="00B81F7D" w14:paraId="0D23CCE6" w14:textId="77777777" w:rsidTr="00612896">
        <w:trPr>
          <w:jc w:val="center"/>
        </w:trPr>
        <w:tc>
          <w:tcPr>
            <w:tcW w:w="1525" w:type="dxa"/>
          </w:tcPr>
          <w:p w14:paraId="7C8100E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0BD349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6CB59B04" w14:textId="42BFFAA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(23.26%)</w:t>
            </w:r>
          </w:p>
        </w:tc>
        <w:tc>
          <w:tcPr>
            <w:tcW w:w="2075" w:type="dxa"/>
          </w:tcPr>
          <w:p w14:paraId="0E08E044" w14:textId="1EC54072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(37.38%)</w:t>
            </w:r>
          </w:p>
        </w:tc>
        <w:tc>
          <w:tcPr>
            <w:tcW w:w="1440" w:type="dxa"/>
          </w:tcPr>
          <w:p w14:paraId="0590554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B81F7D" w:rsidRPr="00B81F7D" w14:paraId="110C638A" w14:textId="77777777" w:rsidTr="00612896">
        <w:trPr>
          <w:jc w:val="center"/>
        </w:trPr>
        <w:tc>
          <w:tcPr>
            <w:tcW w:w="1525" w:type="dxa"/>
          </w:tcPr>
          <w:p w14:paraId="31785A10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60" w:type="dxa"/>
          </w:tcPr>
          <w:p w14:paraId="7123EEBA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0A8A4A63" w14:textId="59FFA16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(52.08%)</w:t>
            </w:r>
          </w:p>
        </w:tc>
        <w:tc>
          <w:tcPr>
            <w:tcW w:w="2075" w:type="dxa"/>
          </w:tcPr>
          <w:p w14:paraId="76547255" w14:textId="02735D0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(32.81%)</w:t>
            </w:r>
          </w:p>
        </w:tc>
        <w:tc>
          <w:tcPr>
            <w:tcW w:w="1440" w:type="dxa"/>
          </w:tcPr>
          <w:p w14:paraId="20B313D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B81F7D" w:rsidRPr="00B81F7D" w14:paraId="5E7543E4" w14:textId="77777777" w:rsidTr="00612896">
        <w:trPr>
          <w:jc w:val="center"/>
        </w:trPr>
        <w:tc>
          <w:tcPr>
            <w:tcW w:w="1525" w:type="dxa"/>
          </w:tcPr>
          <w:p w14:paraId="23536F77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E7E2E6" w14:textId="2554AB6F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24F87403" w14:textId="3EE09463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(58.33%)</w:t>
            </w:r>
          </w:p>
        </w:tc>
        <w:tc>
          <w:tcPr>
            <w:tcW w:w="2075" w:type="dxa"/>
          </w:tcPr>
          <w:p w14:paraId="6A87647D" w14:textId="3795A1F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(71.88%)</w:t>
            </w:r>
          </w:p>
        </w:tc>
        <w:tc>
          <w:tcPr>
            <w:tcW w:w="1440" w:type="dxa"/>
          </w:tcPr>
          <w:p w14:paraId="67270199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B81F7D" w:rsidRPr="00B81F7D" w14:paraId="7D0297A9" w14:textId="77777777" w:rsidTr="00612896">
        <w:trPr>
          <w:jc w:val="center"/>
        </w:trPr>
        <w:tc>
          <w:tcPr>
            <w:tcW w:w="1525" w:type="dxa"/>
          </w:tcPr>
          <w:p w14:paraId="53BA5E97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CB9BC0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3122E6DF" w14:textId="48A95FDF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(26.04%)</w:t>
            </w:r>
          </w:p>
        </w:tc>
        <w:tc>
          <w:tcPr>
            <w:tcW w:w="2075" w:type="dxa"/>
          </w:tcPr>
          <w:p w14:paraId="22FFD5DA" w14:textId="290ECB2F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(32.81%)</w:t>
            </w:r>
          </w:p>
        </w:tc>
        <w:tc>
          <w:tcPr>
            <w:tcW w:w="1440" w:type="dxa"/>
          </w:tcPr>
          <w:p w14:paraId="4BBBC1B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B81F7D" w:rsidRPr="00B81F7D" w14:paraId="4D243770" w14:textId="77777777" w:rsidTr="00612896">
        <w:trPr>
          <w:jc w:val="center"/>
        </w:trPr>
        <w:tc>
          <w:tcPr>
            <w:tcW w:w="1525" w:type="dxa"/>
          </w:tcPr>
          <w:p w14:paraId="678131F7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60" w:type="dxa"/>
          </w:tcPr>
          <w:p w14:paraId="6266CF6F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1D30B516" w14:textId="24CFD9E9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(30.00%)</w:t>
            </w:r>
          </w:p>
        </w:tc>
        <w:tc>
          <w:tcPr>
            <w:tcW w:w="2075" w:type="dxa"/>
          </w:tcPr>
          <w:p w14:paraId="709FC5B6" w14:textId="22260EB4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(28.99%)</w:t>
            </w:r>
          </w:p>
        </w:tc>
        <w:tc>
          <w:tcPr>
            <w:tcW w:w="1440" w:type="dxa"/>
          </w:tcPr>
          <w:p w14:paraId="3C70C437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B81F7D" w:rsidRPr="00B81F7D" w14:paraId="473F63FF" w14:textId="77777777" w:rsidTr="00612896">
        <w:trPr>
          <w:jc w:val="center"/>
        </w:trPr>
        <w:tc>
          <w:tcPr>
            <w:tcW w:w="1525" w:type="dxa"/>
          </w:tcPr>
          <w:p w14:paraId="016FAC2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2B9C7F" w14:textId="38F66DF1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081F8F8E" w14:textId="54E788B3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(53.00%)</w:t>
            </w:r>
          </w:p>
        </w:tc>
        <w:tc>
          <w:tcPr>
            <w:tcW w:w="2075" w:type="dxa"/>
          </w:tcPr>
          <w:p w14:paraId="3DD2EA47" w14:textId="63DCA154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(57.25%)</w:t>
            </w:r>
          </w:p>
        </w:tc>
        <w:tc>
          <w:tcPr>
            <w:tcW w:w="1440" w:type="dxa"/>
          </w:tcPr>
          <w:p w14:paraId="5F72840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81F7D" w:rsidRPr="00B81F7D" w14:paraId="6B5707C5" w14:textId="77777777" w:rsidTr="00612896">
        <w:trPr>
          <w:jc w:val="center"/>
        </w:trPr>
        <w:tc>
          <w:tcPr>
            <w:tcW w:w="1525" w:type="dxa"/>
          </w:tcPr>
          <w:p w14:paraId="65EBFF9B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B9D29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58D00F24" w14:textId="517418B0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(20.00%)</w:t>
            </w:r>
          </w:p>
        </w:tc>
        <w:tc>
          <w:tcPr>
            <w:tcW w:w="2075" w:type="dxa"/>
          </w:tcPr>
          <w:p w14:paraId="40E1CBB1" w14:textId="02B138C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(25.36%)</w:t>
            </w:r>
          </w:p>
        </w:tc>
        <w:tc>
          <w:tcPr>
            <w:tcW w:w="1440" w:type="dxa"/>
          </w:tcPr>
          <w:p w14:paraId="3150298E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B81F7D" w:rsidRPr="00B81F7D" w14:paraId="36A1BBAC" w14:textId="77777777" w:rsidTr="00612896">
        <w:trPr>
          <w:jc w:val="center"/>
        </w:trPr>
        <w:tc>
          <w:tcPr>
            <w:tcW w:w="1525" w:type="dxa"/>
          </w:tcPr>
          <w:p w14:paraId="04D212F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60" w:type="dxa"/>
          </w:tcPr>
          <w:p w14:paraId="0A2D837E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0F1A2762" w14:textId="6DE3F3B9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(22.64%)</w:t>
            </w:r>
          </w:p>
        </w:tc>
        <w:tc>
          <w:tcPr>
            <w:tcW w:w="2075" w:type="dxa"/>
          </w:tcPr>
          <w:p w14:paraId="79658D53" w14:textId="7DC827F1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(26.24%)</w:t>
            </w:r>
          </w:p>
        </w:tc>
        <w:tc>
          <w:tcPr>
            <w:tcW w:w="1440" w:type="dxa"/>
          </w:tcPr>
          <w:p w14:paraId="47EBA83B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81F7D" w14:paraId="5ADBCD86" w14:textId="77777777" w:rsidTr="00612896">
        <w:trPr>
          <w:jc w:val="center"/>
        </w:trPr>
        <w:tc>
          <w:tcPr>
            <w:tcW w:w="1525" w:type="dxa"/>
          </w:tcPr>
          <w:p w14:paraId="75A97FF6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9EEF57" w14:textId="63D90BA6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26509088" w14:textId="5D09ED9A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(55.66%)</w:t>
            </w:r>
          </w:p>
        </w:tc>
        <w:tc>
          <w:tcPr>
            <w:tcW w:w="2075" w:type="dxa"/>
          </w:tcPr>
          <w:p w14:paraId="7BC58686" w14:textId="4D602DC1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(54.66%)</w:t>
            </w:r>
          </w:p>
        </w:tc>
        <w:tc>
          <w:tcPr>
            <w:tcW w:w="1440" w:type="dxa"/>
          </w:tcPr>
          <w:p w14:paraId="63C6C0B5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B81F7D" w14:paraId="019B512E" w14:textId="77777777" w:rsidTr="00612896">
        <w:trPr>
          <w:jc w:val="center"/>
        </w:trPr>
        <w:tc>
          <w:tcPr>
            <w:tcW w:w="1525" w:type="dxa"/>
          </w:tcPr>
          <w:p w14:paraId="3D686B7E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F0842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4B09F181" w14:textId="60ED0E4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(20.75%)</w:t>
            </w:r>
          </w:p>
        </w:tc>
        <w:tc>
          <w:tcPr>
            <w:tcW w:w="2075" w:type="dxa"/>
          </w:tcPr>
          <w:p w14:paraId="5782C3F1" w14:textId="2C5ED6B8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(24.82%)</w:t>
            </w:r>
          </w:p>
        </w:tc>
        <w:tc>
          <w:tcPr>
            <w:tcW w:w="1440" w:type="dxa"/>
          </w:tcPr>
          <w:p w14:paraId="4EA3EBD6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B81F7D" w14:paraId="43BD5D69" w14:textId="77777777" w:rsidTr="00612896">
        <w:trPr>
          <w:jc w:val="center"/>
        </w:trPr>
        <w:tc>
          <w:tcPr>
            <w:tcW w:w="1525" w:type="dxa"/>
          </w:tcPr>
          <w:p w14:paraId="3E85FC6C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60" w:type="dxa"/>
          </w:tcPr>
          <w:p w14:paraId="3531833E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4784B5D1" w14:textId="7E69A2C1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(25.42%)</w:t>
            </w:r>
          </w:p>
        </w:tc>
        <w:tc>
          <w:tcPr>
            <w:tcW w:w="2075" w:type="dxa"/>
          </w:tcPr>
          <w:p w14:paraId="493FFA07" w14:textId="2A196C5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(24.86%)</w:t>
            </w:r>
          </w:p>
        </w:tc>
        <w:tc>
          <w:tcPr>
            <w:tcW w:w="1440" w:type="dxa"/>
          </w:tcPr>
          <w:p w14:paraId="3667B5FC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B81F7D" w14:paraId="5362EDE8" w14:textId="77777777" w:rsidTr="00612896">
        <w:trPr>
          <w:jc w:val="center"/>
        </w:trPr>
        <w:tc>
          <w:tcPr>
            <w:tcW w:w="1525" w:type="dxa"/>
          </w:tcPr>
          <w:p w14:paraId="52B56F51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7C5F07" w14:textId="6AA2E37F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5F5658E5" w14:textId="014991C3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(45.76%)</w:t>
            </w:r>
          </w:p>
        </w:tc>
        <w:tc>
          <w:tcPr>
            <w:tcW w:w="2075" w:type="dxa"/>
          </w:tcPr>
          <w:p w14:paraId="0E9D42BA" w14:textId="7798559D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(51.93%)</w:t>
            </w:r>
          </w:p>
        </w:tc>
        <w:tc>
          <w:tcPr>
            <w:tcW w:w="1440" w:type="dxa"/>
          </w:tcPr>
          <w:p w14:paraId="4215A4E0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B81F7D" w14:paraId="1BB440F1" w14:textId="77777777" w:rsidTr="00612896">
        <w:trPr>
          <w:jc w:val="center"/>
        </w:trPr>
        <w:tc>
          <w:tcPr>
            <w:tcW w:w="1525" w:type="dxa"/>
          </w:tcPr>
          <w:p w14:paraId="154DB088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79FD50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42F7D0D6" w14:textId="3595B9CE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(18.64%)</w:t>
            </w:r>
          </w:p>
        </w:tc>
        <w:tc>
          <w:tcPr>
            <w:tcW w:w="2075" w:type="dxa"/>
          </w:tcPr>
          <w:p w14:paraId="3813755D" w14:textId="511D998B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(24.86%)</w:t>
            </w:r>
          </w:p>
        </w:tc>
        <w:tc>
          <w:tcPr>
            <w:tcW w:w="1440" w:type="dxa"/>
          </w:tcPr>
          <w:p w14:paraId="5D8A3F89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B81F7D" w14:paraId="3E3FB3EA" w14:textId="77777777" w:rsidTr="00612896">
        <w:trPr>
          <w:jc w:val="center"/>
        </w:trPr>
        <w:tc>
          <w:tcPr>
            <w:tcW w:w="1525" w:type="dxa"/>
          </w:tcPr>
          <w:p w14:paraId="6D2C0CAE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60" w:type="dxa"/>
          </w:tcPr>
          <w:p w14:paraId="4DEF52B7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714518B5" w14:textId="4C05E43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(23.08%)</w:t>
            </w:r>
          </w:p>
        </w:tc>
        <w:tc>
          <w:tcPr>
            <w:tcW w:w="2075" w:type="dxa"/>
          </w:tcPr>
          <w:p w14:paraId="02D1DCFB" w14:textId="098F14C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(17.93%)</w:t>
            </w:r>
          </w:p>
        </w:tc>
        <w:tc>
          <w:tcPr>
            <w:tcW w:w="1440" w:type="dxa"/>
          </w:tcPr>
          <w:p w14:paraId="48173B0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B81F7D" w14:paraId="3459AE3D" w14:textId="77777777" w:rsidTr="00612896">
        <w:trPr>
          <w:jc w:val="center"/>
        </w:trPr>
        <w:tc>
          <w:tcPr>
            <w:tcW w:w="1525" w:type="dxa"/>
          </w:tcPr>
          <w:p w14:paraId="2CE5EFFA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3406BE" w14:textId="0EC425A7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42F34DFC" w14:textId="1911A7D1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(43.96%)</w:t>
            </w:r>
          </w:p>
        </w:tc>
        <w:tc>
          <w:tcPr>
            <w:tcW w:w="2075" w:type="dxa"/>
          </w:tcPr>
          <w:p w14:paraId="0B03A7C6" w14:textId="56BC1C1B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(48.97%)</w:t>
            </w:r>
          </w:p>
        </w:tc>
        <w:tc>
          <w:tcPr>
            <w:tcW w:w="1440" w:type="dxa"/>
          </w:tcPr>
          <w:p w14:paraId="264807A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B81F7D" w14:paraId="3F1771FC" w14:textId="77777777" w:rsidTr="00612896">
        <w:trPr>
          <w:jc w:val="center"/>
        </w:trPr>
        <w:tc>
          <w:tcPr>
            <w:tcW w:w="1525" w:type="dxa"/>
          </w:tcPr>
          <w:p w14:paraId="6F7E329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671821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29158507" w14:textId="555FC47B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(17.58%)</w:t>
            </w:r>
          </w:p>
        </w:tc>
        <w:tc>
          <w:tcPr>
            <w:tcW w:w="2075" w:type="dxa"/>
          </w:tcPr>
          <w:p w14:paraId="399D2B9E" w14:textId="72703C09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(12.41%)</w:t>
            </w:r>
          </w:p>
        </w:tc>
        <w:tc>
          <w:tcPr>
            <w:tcW w:w="1440" w:type="dxa"/>
          </w:tcPr>
          <w:p w14:paraId="5D9F309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B81F7D" w14:paraId="1DF84907" w14:textId="77777777" w:rsidTr="00612896">
        <w:trPr>
          <w:jc w:val="center"/>
        </w:trPr>
        <w:tc>
          <w:tcPr>
            <w:tcW w:w="1525" w:type="dxa"/>
          </w:tcPr>
          <w:p w14:paraId="017CB0AF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60" w:type="dxa"/>
          </w:tcPr>
          <w:p w14:paraId="2792DEC6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48792A6C" w14:textId="56018E6E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(14.07%)</w:t>
            </w:r>
          </w:p>
        </w:tc>
        <w:tc>
          <w:tcPr>
            <w:tcW w:w="2075" w:type="dxa"/>
          </w:tcPr>
          <w:p w14:paraId="6B5D4411" w14:textId="1316F2E0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(15.73%)</w:t>
            </w:r>
          </w:p>
        </w:tc>
        <w:tc>
          <w:tcPr>
            <w:tcW w:w="1440" w:type="dxa"/>
          </w:tcPr>
          <w:p w14:paraId="740925B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B81F7D" w14:paraId="54BEEECC" w14:textId="77777777" w:rsidTr="00612896">
        <w:trPr>
          <w:jc w:val="center"/>
        </w:trPr>
        <w:tc>
          <w:tcPr>
            <w:tcW w:w="1525" w:type="dxa"/>
          </w:tcPr>
          <w:p w14:paraId="591654E7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C40712" w14:textId="1458D4BF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23501F9F" w14:textId="14C1F372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(40.71%)</w:t>
            </w:r>
          </w:p>
        </w:tc>
        <w:tc>
          <w:tcPr>
            <w:tcW w:w="2075" w:type="dxa"/>
          </w:tcPr>
          <w:p w14:paraId="53D9E7AF" w14:textId="56FF16B5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(34.83%)</w:t>
            </w:r>
          </w:p>
        </w:tc>
        <w:tc>
          <w:tcPr>
            <w:tcW w:w="1440" w:type="dxa"/>
          </w:tcPr>
          <w:p w14:paraId="699A0501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B81F7D" w14:paraId="07316F73" w14:textId="77777777" w:rsidTr="00612896">
        <w:trPr>
          <w:jc w:val="center"/>
        </w:trPr>
        <w:tc>
          <w:tcPr>
            <w:tcW w:w="1525" w:type="dxa"/>
          </w:tcPr>
          <w:p w14:paraId="3BDBF67B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8B9585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05F3B1B6" w14:textId="6FA51BF3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(9.63%)</w:t>
            </w:r>
          </w:p>
        </w:tc>
        <w:tc>
          <w:tcPr>
            <w:tcW w:w="2075" w:type="dxa"/>
          </w:tcPr>
          <w:p w14:paraId="70F554E7" w14:textId="4807316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(11.24%)</w:t>
            </w:r>
          </w:p>
        </w:tc>
        <w:tc>
          <w:tcPr>
            <w:tcW w:w="1440" w:type="dxa"/>
          </w:tcPr>
          <w:p w14:paraId="0EC719B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B81F7D" w14:paraId="105FAD07" w14:textId="77777777" w:rsidTr="00612896">
        <w:trPr>
          <w:jc w:val="center"/>
        </w:trPr>
        <w:tc>
          <w:tcPr>
            <w:tcW w:w="1525" w:type="dxa"/>
          </w:tcPr>
          <w:p w14:paraId="0E8D4195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60" w:type="dxa"/>
          </w:tcPr>
          <w:p w14:paraId="5C19AA7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5FACD5E4" w14:textId="2C2E3AAE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(9.95%)</w:t>
            </w:r>
          </w:p>
        </w:tc>
        <w:tc>
          <w:tcPr>
            <w:tcW w:w="2075" w:type="dxa"/>
          </w:tcPr>
          <w:p w14:paraId="04967D0C" w14:textId="1A94582B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(8.42%)</w:t>
            </w:r>
          </w:p>
        </w:tc>
        <w:tc>
          <w:tcPr>
            <w:tcW w:w="1440" w:type="dxa"/>
          </w:tcPr>
          <w:p w14:paraId="1C47FA7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81F7D" w14:paraId="75140DE3" w14:textId="77777777" w:rsidTr="00612896">
        <w:trPr>
          <w:jc w:val="center"/>
        </w:trPr>
        <w:tc>
          <w:tcPr>
            <w:tcW w:w="1525" w:type="dxa"/>
          </w:tcPr>
          <w:p w14:paraId="417D8F3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B976F" w14:textId="54D8D6E1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511D331F" w14:textId="048DF35D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(32.98%)</w:t>
            </w:r>
          </w:p>
        </w:tc>
        <w:tc>
          <w:tcPr>
            <w:tcW w:w="2075" w:type="dxa"/>
          </w:tcPr>
          <w:p w14:paraId="683F1622" w14:textId="5DB68BF6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(48.42%)</w:t>
            </w:r>
          </w:p>
        </w:tc>
        <w:tc>
          <w:tcPr>
            <w:tcW w:w="1440" w:type="dxa"/>
          </w:tcPr>
          <w:p w14:paraId="57410971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B81F7D" w14:paraId="4D888362" w14:textId="77777777" w:rsidTr="00612896">
        <w:trPr>
          <w:jc w:val="center"/>
        </w:trPr>
        <w:tc>
          <w:tcPr>
            <w:tcW w:w="1525" w:type="dxa"/>
          </w:tcPr>
          <w:p w14:paraId="1D65B581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F0C8E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6D57A10D" w14:textId="54BDFB92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(10.47%)</w:t>
            </w:r>
          </w:p>
        </w:tc>
        <w:tc>
          <w:tcPr>
            <w:tcW w:w="2075" w:type="dxa"/>
          </w:tcPr>
          <w:p w14:paraId="55CA61D6" w14:textId="3524BEC0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(15.79%)</w:t>
            </w:r>
          </w:p>
        </w:tc>
        <w:tc>
          <w:tcPr>
            <w:tcW w:w="1440" w:type="dxa"/>
          </w:tcPr>
          <w:p w14:paraId="50184128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B81F7D" w14:paraId="224D754D" w14:textId="77777777" w:rsidTr="00612896">
        <w:trPr>
          <w:jc w:val="center"/>
        </w:trPr>
        <w:tc>
          <w:tcPr>
            <w:tcW w:w="1525" w:type="dxa"/>
          </w:tcPr>
          <w:p w14:paraId="09251701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60" w:type="dxa"/>
          </w:tcPr>
          <w:p w14:paraId="6EF03104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0F955460" w14:textId="1768E024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(6.37%)</w:t>
            </w:r>
          </w:p>
        </w:tc>
        <w:tc>
          <w:tcPr>
            <w:tcW w:w="2075" w:type="dxa"/>
          </w:tcPr>
          <w:p w14:paraId="6ED2AC55" w14:textId="5417EE7B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(5.33%)</w:t>
            </w:r>
          </w:p>
        </w:tc>
        <w:tc>
          <w:tcPr>
            <w:tcW w:w="1440" w:type="dxa"/>
          </w:tcPr>
          <w:p w14:paraId="232A2155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B81F7D" w14:paraId="391B3681" w14:textId="77777777" w:rsidTr="00612896">
        <w:trPr>
          <w:jc w:val="center"/>
        </w:trPr>
        <w:tc>
          <w:tcPr>
            <w:tcW w:w="1525" w:type="dxa"/>
          </w:tcPr>
          <w:p w14:paraId="1099C006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6870BB" w14:textId="451EF7ED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42B9ABDF" w14:textId="2D6B7F39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(32.48%)</w:t>
            </w:r>
          </w:p>
        </w:tc>
        <w:tc>
          <w:tcPr>
            <w:tcW w:w="2075" w:type="dxa"/>
          </w:tcPr>
          <w:p w14:paraId="6803601A" w14:textId="5AE9BD81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(36.00%)</w:t>
            </w:r>
          </w:p>
        </w:tc>
        <w:tc>
          <w:tcPr>
            <w:tcW w:w="1440" w:type="dxa"/>
          </w:tcPr>
          <w:p w14:paraId="648ABA55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B81F7D" w14:paraId="0F119EA3" w14:textId="77777777" w:rsidTr="00612896">
        <w:trPr>
          <w:jc w:val="center"/>
        </w:trPr>
        <w:tc>
          <w:tcPr>
            <w:tcW w:w="1525" w:type="dxa"/>
          </w:tcPr>
          <w:p w14:paraId="6406D4B8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1B7939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3A066C81" w14:textId="0FFC85C0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(10.83%)</w:t>
            </w:r>
          </w:p>
        </w:tc>
        <w:tc>
          <w:tcPr>
            <w:tcW w:w="2075" w:type="dxa"/>
          </w:tcPr>
          <w:p w14:paraId="237D60D0" w14:textId="4003553C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(4.00%)</w:t>
            </w:r>
          </w:p>
        </w:tc>
        <w:tc>
          <w:tcPr>
            <w:tcW w:w="1440" w:type="dxa"/>
          </w:tcPr>
          <w:p w14:paraId="1BF7DE2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B81F7D" w14:paraId="66A04250" w14:textId="77777777" w:rsidTr="00612896">
        <w:trPr>
          <w:jc w:val="center"/>
        </w:trPr>
        <w:tc>
          <w:tcPr>
            <w:tcW w:w="1525" w:type="dxa"/>
          </w:tcPr>
          <w:p w14:paraId="31FF965A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60" w:type="dxa"/>
          </w:tcPr>
          <w:p w14:paraId="3537CAF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CTB</w:t>
            </w:r>
          </w:p>
        </w:tc>
        <w:tc>
          <w:tcPr>
            <w:tcW w:w="2070" w:type="dxa"/>
          </w:tcPr>
          <w:p w14:paraId="38716DFF" w14:textId="65A3DAA2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(4.67%)</w:t>
            </w:r>
          </w:p>
        </w:tc>
        <w:tc>
          <w:tcPr>
            <w:tcW w:w="2075" w:type="dxa"/>
          </w:tcPr>
          <w:p w14:paraId="72959F6F" w14:textId="5B680136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(10.17%)</w:t>
            </w:r>
          </w:p>
        </w:tc>
        <w:tc>
          <w:tcPr>
            <w:tcW w:w="1440" w:type="dxa"/>
          </w:tcPr>
          <w:p w14:paraId="7112505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81F7D" w14:paraId="7E594425" w14:textId="77777777" w:rsidTr="00612896">
        <w:trPr>
          <w:jc w:val="center"/>
        </w:trPr>
        <w:tc>
          <w:tcPr>
            <w:tcW w:w="1525" w:type="dxa"/>
          </w:tcPr>
          <w:p w14:paraId="2D1CDFE3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C5E5B9" w14:textId="140AA310" w:rsidR="00B81F7D" w:rsidRPr="00612896" w:rsidRDefault="00612896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1F7D" w:rsidRPr="00612896">
              <w:rPr>
                <w:rFonts w:ascii="Times New Roman" w:hAnsi="Times New Roman" w:cs="Times New Roman"/>
                <w:sz w:val="20"/>
                <w:szCs w:val="20"/>
              </w:rPr>
              <w:t>eadmission</w:t>
            </w:r>
          </w:p>
        </w:tc>
        <w:tc>
          <w:tcPr>
            <w:tcW w:w="2070" w:type="dxa"/>
          </w:tcPr>
          <w:p w14:paraId="0E0AD762" w14:textId="5A07686B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(23.36%)</w:t>
            </w:r>
          </w:p>
        </w:tc>
        <w:tc>
          <w:tcPr>
            <w:tcW w:w="2075" w:type="dxa"/>
          </w:tcPr>
          <w:p w14:paraId="50F570AA" w14:textId="0141FBDD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(32.30%)</w:t>
            </w:r>
          </w:p>
        </w:tc>
        <w:tc>
          <w:tcPr>
            <w:tcW w:w="1440" w:type="dxa"/>
          </w:tcPr>
          <w:p w14:paraId="72F00E16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B81F7D" w14:paraId="39701890" w14:textId="77777777" w:rsidTr="00612896">
        <w:trPr>
          <w:jc w:val="center"/>
        </w:trPr>
        <w:tc>
          <w:tcPr>
            <w:tcW w:w="1525" w:type="dxa"/>
          </w:tcPr>
          <w:p w14:paraId="41983DB2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83B20E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HF readmission</w:t>
            </w:r>
          </w:p>
        </w:tc>
        <w:tc>
          <w:tcPr>
            <w:tcW w:w="2070" w:type="dxa"/>
          </w:tcPr>
          <w:p w14:paraId="3F527523" w14:textId="693DBC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(12.15%)</w:t>
            </w:r>
          </w:p>
        </w:tc>
        <w:tc>
          <w:tcPr>
            <w:tcW w:w="2075" w:type="dxa"/>
          </w:tcPr>
          <w:p w14:paraId="5964A671" w14:textId="00741B25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2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(10.17%)</w:t>
            </w:r>
          </w:p>
        </w:tc>
        <w:tc>
          <w:tcPr>
            <w:tcW w:w="1440" w:type="dxa"/>
          </w:tcPr>
          <w:p w14:paraId="05521805" w14:textId="77777777" w:rsidR="00B81F7D" w:rsidRPr="00612896" w:rsidRDefault="00B81F7D" w:rsidP="00DE0D05">
            <w:pPr>
              <w:pStyle w:val="ListParagraph"/>
              <w:spacing w:before="0"/>
              <w:ind w:left="0" w:right="130" w:firstLine="4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896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</w:tbl>
    <w:p w14:paraId="1C6B0E40" w14:textId="6973B00B" w:rsidR="00B81F7D" w:rsidRPr="00AD187B" w:rsidRDefault="00AD187B" w:rsidP="00B81F7D">
      <w:pPr>
        <w:contextualSpacing/>
        <w:rPr>
          <w:rFonts w:ascii="Microsoft YaHei" w:eastAsia="Microsoft YaHei" w:hAnsi="Microsoft YaHei"/>
          <w:color w:val="auto"/>
        </w:rPr>
      </w:pPr>
      <w:r w:rsidRPr="00AD187B">
        <w:rPr>
          <w:rFonts w:ascii="Microsoft YaHei" w:eastAsia="Microsoft YaHei" w:hAnsi="Microsoft YaHei"/>
          <w:color w:val="auto"/>
        </w:rPr>
        <w:t>CTB = cease to breathe, HF = heart failure</w:t>
      </w:r>
    </w:p>
    <w:p w14:paraId="520E8118" w14:textId="77777777" w:rsidR="00B81F7D" w:rsidRPr="00E104F7" w:rsidRDefault="00B81F7D">
      <w:pPr>
        <w:rPr>
          <w:rFonts w:ascii="Times New Roman" w:hAnsi="Times New Roman"/>
          <w:sz w:val="24"/>
          <w:szCs w:val="24"/>
        </w:rPr>
      </w:pPr>
    </w:p>
    <w:sectPr w:rsidR="00B81F7D" w:rsidRPr="00E10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8E31" w14:textId="77777777" w:rsidR="00E32C13" w:rsidRDefault="00E32C13" w:rsidP="00B81F7D">
      <w:pPr>
        <w:spacing w:line="240" w:lineRule="auto"/>
      </w:pPr>
      <w:r>
        <w:separator/>
      </w:r>
    </w:p>
  </w:endnote>
  <w:endnote w:type="continuationSeparator" w:id="0">
    <w:p w14:paraId="745B50C8" w14:textId="77777777" w:rsidR="00E32C13" w:rsidRDefault="00E32C13" w:rsidP="00B8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FC54" w14:textId="77777777" w:rsidR="00E32C13" w:rsidRDefault="00E32C13" w:rsidP="00B81F7D">
      <w:pPr>
        <w:spacing w:line="240" w:lineRule="auto"/>
      </w:pPr>
      <w:r>
        <w:separator/>
      </w:r>
    </w:p>
  </w:footnote>
  <w:footnote w:type="continuationSeparator" w:id="0">
    <w:p w14:paraId="3D363468" w14:textId="77777777" w:rsidR="00E32C13" w:rsidRDefault="00E32C13" w:rsidP="00B81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658299A2"/>
    <w:lvl w:ilvl="0" w:tplc="CE24E69A">
      <w:start w:val="1"/>
      <w:numFmt w:val="bullet"/>
      <w:lvlRestart w:val="0"/>
      <w:pStyle w:val="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3DC"/>
    <w:multiLevelType w:val="hybridMultilevel"/>
    <w:tmpl w:val="184EDD5C"/>
    <w:lvl w:ilvl="0" w:tplc="6C4ADA66">
      <w:start w:val="1"/>
      <w:numFmt w:val="decimal"/>
      <w:lvlRestart w:val="0"/>
      <w:pStyle w:val="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5312">
    <w:abstractNumId w:val="0"/>
  </w:num>
  <w:num w:numId="2" w16cid:durableId="17846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7"/>
    <w:rsid w:val="00011C27"/>
    <w:rsid w:val="001C4626"/>
    <w:rsid w:val="003B12C9"/>
    <w:rsid w:val="00612896"/>
    <w:rsid w:val="00A11BB4"/>
    <w:rsid w:val="00AD187B"/>
    <w:rsid w:val="00B14A2B"/>
    <w:rsid w:val="00B81F7D"/>
    <w:rsid w:val="00CE6DB4"/>
    <w:rsid w:val="00D744CE"/>
    <w:rsid w:val="00E104F7"/>
    <w:rsid w:val="00E32C13"/>
    <w:rsid w:val="00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B5C95"/>
  <w15:chartTrackingRefBased/>
  <w15:docId w15:val="{30E9B8BF-B81A-4AC0-B493-8050195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C27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</w:rPr>
  </w:style>
  <w:style w:type="paragraph" w:styleId="Heading1">
    <w:name w:val="heading 1"/>
    <w:aliases w:val="Heading level 1"/>
    <w:basedOn w:val="Normal"/>
    <w:next w:val="Normal"/>
    <w:link w:val="Heading1Char"/>
    <w:uiPriority w:val="9"/>
    <w:qFormat/>
    <w:rsid w:val="00011C27"/>
    <w:pPr>
      <w:keepNext/>
      <w:keepLines/>
      <w:adjustRightInd w:val="0"/>
      <w:snapToGrid w:val="0"/>
      <w:spacing w:before="360" w:after="360" w:line="240" w:lineRule="auto"/>
      <w:outlineLvl w:val="0"/>
    </w:pPr>
    <w:rPr>
      <w:rFonts w:ascii="Times New Roman" w:eastAsia="Times New Roman" w:hAnsi="Times New Roman"/>
      <w:b/>
      <w:bCs/>
      <w:kern w:val="44"/>
      <w:sz w:val="24"/>
      <w:szCs w:val="24"/>
    </w:rPr>
  </w:style>
  <w:style w:type="paragraph" w:styleId="Heading2">
    <w:name w:val="heading 2"/>
    <w:aliases w:val="Heading level 2"/>
    <w:basedOn w:val="Normal"/>
    <w:next w:val="Normal"/>
    <w:link w:val="Heading2Char"/>
    <w:uiPriority w:val="9"/>
    <w:qFormat/>
    <w:rsid w:val="00011C27"/>
    <w:pPr>
      <w:keepNext/>
      <w:keepLines/>
      <w:adjustRightInd w:val="0"/>
      <w:snapToGrid w:val="0"/>
      <w:spacing w:before="240" w:after="240" w:line="240" w:lineRule="auto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3">
    <w:name w:val="heading 3"/>
    <w:aliases w:val="Heading level 3"/>
    <w:basedOn w:val="Normal"/>
    <w:next w:val="Normal"/>
    <w:link w:val="Heading3Char"/>
    <w:uiPriority w:val="9"/>
    <w:qFormat/>
    <w:rsid w:val="00011C27"/>
    <w:pPr>
      <w:keepNext/>
      <w:keepLines/>
      <w:adjustRightInd w:val="0"/>
      <w:snapToGrid w:val="0"/>
      <w:spacing w:before="160" w:after="160" w:line="240" w:lineRule="auto"/>
      <w:outlineLvl w:val="2"/>
    </w:pPr>
    <w:rPr>
      <w:rFonts w:ascii="Times New Roman" w:eastAsia="Times New Roman" w:hAnsi="Times New Roman"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Normal"/>
    <w:uiPriority w:val="5"/>
    <w:qFormat/>
    <w:rsid w:val="00011C27"/>
    <w:pPr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Academiceditor">
    <w:name w:val="Academic editor"/>
    <w:uiPriority w:val="4"/>
    <w:qFormat/>
    <w:rsid w:val="00011C27"/>
    <w:pPr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Affiliation">
    <w:name w:val="Affiliation"/>
    <w:uiPriority w:val="3"/>
    <w:qFormat/>
    <w:rsid w:val="00011C27"/>
    <w:pPr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Articletitle">
    <w:name w:val="Article title"/>
    <w:next w:val="Normal"/>
    <w:uiPriority w:val="1"/>
    <w:qFormat/>
    <w:rsid w:val="00011C27"/>
    <w:pPr>
      <w:adjustRightInd w:val="0"/>
      <w:snapToGrid w:val="0"/>
      <w:jc w:val="both"/>
    </w:pPr>
    <w:rPr>
      <w:rFonts w:ascii="Times New Roman" w:eastAsia="Times New Roman" w:hAnsi="Times New Roman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Articletype">
    <w:name w:val="Article type"/>
    <w:next w:val="Normal"/>
    <w:qFormat/>
    <w:rsid w:val="00011C27"/>
    <w:pPr>
      <w:adjustRightInd w:val="0"/>
      <w:snapToGrid w:val="0"/>
    </w:pPr>
    <w:rPr>
      <w:rFonts w:ascii="Times New Roman" w:eastAsia="Times New Roman" w:hAnsi="Times New Roman" w:cs="Times New Roman"/>
      <w:i/>
      <w:snapToGrid w:val="0"/>
      <w:color w:val="000000"/>
      <w:kern w:val="0"/>
      <w:sz w:val="20"/>
      <w:lang w:eastAsia="de-DE" w:bidi="en-US"/>
    </w:rPr>
  </w:style>
  <w:style w:type="paragraph" w:customStyle="1" w:styleId="Authornames">
    <w:name w:val="Authornames"/>
    <w:next w:val="Normal"/>
    <w:uiPriority w:val="2"/>
    <w:qFormat/>
    <w:rsid w:val="00011C27"/>
    <w:pPr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Backmatter">
    <w:name w:val="Back matter"/>
    <w:uiPriority w:val="18"/>
    <w:qFormat/>
    <w:rsid w:val="00011C27"/>
    <w:pPr>
      <w:adjustRightInd w:val="0"/>
      <w:snapToGrid w:val="0"/>
      <w:spacing w:beforeLines="50" w:before="50" w:afterLines="50" w:after="50"/>
      <w:jc w:val="both"/>
    </w:pPr>
    <w:rPr>
      <w:rFonts w:ascii="Times New Roman" w:eastAsia="Times New Roman" w:hAnsi="Times New Roman" w:cs="Times New Roman"/>
      <w:b/>
      <w:snapToGrid w:val="0"/>
      <w:color w:val="000000"/>
      <w:kern w:val="0"/>
      <w:sz w:val="24"/>
      <w:szCs w:val="24"/>
      <w:lang w:eastAsia="en-US" w:bidi="en-US"/>
    </w:rPr>
  </w:style>
  <w:style w:type="paragraph" w:customStyle="1" w:styleId="Bullet">
    <w:name w:val="Bullet"/>
    <w:uiPriority w:val="16"/>
    <w:qFormat/>
    <w:rsid w:val="00011C27"/>
    <w:pPr>
      <w:numPr>
        <w:numId w:val="1"/>
      </w:numPr>
      <w:adjustRightInd w:val="0"/>
      <w:snapToGrid w:val="0"/>
      <w:spacing w:before="40" w:after="40"/>
      <w:ind w:hangingChars="200" w:hanging="200"/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E-mail">
    <w:name w:val="E-mail"/>
    <w:link w:val="E-mail0"/>
    <w:uiPriority w:val="4"/>
    <w:qFormat/>
    <w:rsid w:val="00011C27"/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character" w:customStyle="1" w:styleId="E-mail0">
    <w:name w:val="E-mail 字符"/>
    <w:basedOn w:val="DefaultParagraphFont"/>
    <w:link w:val="E-mail"/>
    <w:uiPriority w:val="4"/>
    <w:rsid w:val="00011C27"/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paragraph" w:customStyle="1" w:styleId="Equation">
    <w:name w:val="Equation"/>
    <w:uiPriority w:val="17"/>
    <w:qFormat/>
    <w:rsid w:val="00011C27"/>
    <w:pPr>
      <w:adjustRightInd w:val="0"/>
      <w:snapToGrid w:val="0"/>
      <w:spacing w:before="60" w:after="60"/>
      <w:ind w:left="709"/>
      <w:jc w:val="center"/>
    </w:pPr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paragraph" w:customStyle="1" w:styleId="Figure">
    <w:name w:val="Figure"/>
    <w:uiPriority w:val="15"/>
    <w:qFormat/>
    <w:rsid w:val="00011C27"/>
    <w:pPr>
      <w:adjustRightInd w:val="0"/>
      <w:snapToGrid w:val="0"/>
      <w:jc w:val="center"/>
    </w:pPr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paragraph" w:customStyle="1" w:styleId="Figurecaption">
    <w:name w:val="Figure caption"/>
    <w:uiPriority w:val="14"/>
    <w:qFormat/>
    <w:rsid w:val="00011C27"/>
    <w:pPr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Figuretitle">
    <w:name w:val="Figure title"/>
    <w:uiPriority w:val="13"/>
    <w:rsid w:val="00011C27"/>
    <w:pPr>
      <w:adjustRightInd w:val="0"/>
      <w:snapToGrid w:val="0"/>
      <w:spacing w:after="100" w:afterAutospacing="1"/>
      <w:jc w:val="center"/>
    </w:pPr>
    <w:rPr>
      <w:rFonts w:ascii="Times New Roman" w:eastAsia="Times New Roman" w:hAnsi="Times New Roman" w:cs="Times New Roman"/>
      <w:b/>
      <w:noProof/>
      <w:color w:val="000000"/>
      <w:kern w:val="0"/>
      <w:szCs w:val="21"/>
      <w:lang w:bidi="en-US"/>
    </w:rPr>
  </w:style>
  <w:style w:type="paragraph" w:customStyle="1" w:styleId="history">
    <w:name w:val="history"/>
    <w:basedOn w:val="Normal"/>
    <w:next w:val="Normal"/>
    <w:semiHidden/>
    <w:rsid w:val="00011C27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noProof w:val="0"/>
      <w:sz w:val="21"/>
      <w:szCs w:val="21"/>
      <w:lang w:eastAsia="de-DE" w:bidi="en-US"/>
    </w:rPr>
  </w:style>
  <w:style w:type="paragraph" w:customStyle="1" w:styleId="Keywords">
    <w:name w:val="Keywords"/>
    <w:next w:val="Normal"/>
    <w:link w:val="Keywords0"/>
    <w:uiPriority w:val="6"/>
    <w:qFormat/>
    <w:rsid w:val="00011C27"/>
    <w:pPr>
      <w:adjustRightInd w:val="0"/>
      <w:snapToGrid w:val="0"/>
      <w:jc w:val="both"/>
    </w:pPr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character" w:customStyle="1" w:styleId="Keywords0">
    <w:name w:val="Keywords 字符"/>
    <w:basedOn w:val="DefaultParagraphFont"/>
    <w:link w:val="Keywords"/>
    <w:uiPriority w:val="6"/>
    <w:rsid w:val="00011C27"/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paragraph" w:customStyle="1" w:styleId="line">
    <w:name w:val="line"/>
    <w:uiPriority w:val="20"/>
    <w:semiHidden/>
    <w:rsid w:val="00011C27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Cs w:val="24"/>
      <w:lang w:eastAsia="de-DE" w:bidi="en-US"/>
    </w:rPr>
  </w:style>
  <w:style w:type="paragraph" w:customStyle="1" w:styleId="Reference">
    <w:name w:val="Reference"/>
    <w:link w:val="Reference0"/>
    <w:uiPriority w:val="19"/>
    <w:qFormat/>
    <w:rsid w:val="00011C27"/>
    <w:pPr>
      <w:ind w:left="200" w:hangingChars="200" w:hanging="200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18"/>
      <w:szCs w:val="21"/>
      <w:lang w:eastAsia="de-DE" w:bidi="en-US"/>
    </w:rPr>
  </w:style>
  <w:style w:type="character" w:customStyle="1" w:styleId="Reference0">
    <w:name w:val="Reference 字符"/>
    <w:basedOn w:val="Keywords0"/>
    <w:link w:val="Reference"/>
    <w:uiPriority w:val="19"/>
    <w:rsid w:val="00011C27"/>
    <w:rPr>
      <w:rFonts w:ascii="Times New Roman" w:eastAsia="Times New Roman" w:hAnsi="Times New Roman" w:cs="Times New Roman"/>
      <w:snapToGrid w:val="0"/>
      <w:color w:val="000000"/>
      <w:kern w:val="0"/>
      <w:sz w:val="18"/>
      <w:szCs w:val="21"/>
      <w:lang w:eastAsia="de-DE" w:bidi="en-US"/>
    </w:rPr>
  </w:style>
  <w:style w:type="paragraph" w:customStyle="1" w:styleId="References">
    <w:name w:val="References"/>
    <w:uiPriority w:val="99"/>
    <w:semiHidden/>
    <w:qFormat/>
    <w:rsid w:val="00011C27"/>
    <w:pPr>
      <w:numPr>
        <w:numId w:val="2"/>
      </w:numPr>
      <w:adjustRightInd w:val="0"/>
      <w:snapToGrid w:val="0"/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Tablebody">
    <w:name w:val="Table body"/>
    <w:uiPriority w:val="11"/>
    <w:qFormat/>
    <w:rsid w:val="00011C27"/>
    <w:pPr>
      <w:jc w:val="both"/>
    </w:pPr>
    <w:rPr>
      <w:rFonts w:ascii="Times New Roman" w:eastAsia="Times New Roman" w:hAnsi="Times New Roman" w:cs="Times New Roman"/>
      <w:snapToGrid w:val="0"/>
      <w:color w:val="000000"/>
      <w:kern w:val="0"/>
      <w:szCs w:val="21"/>
      <w:lang w:eastAsia="de-DE" w:bidi="en-US"/>
    </w:rPr>
  </w:style>
  <w:style w:type="paragraph" w:customStyle="1" w:styleId="Tablecaption">
    <w:name w:val="Table caption"/>
    <w:uiPriority w:val="11"/>
    <w:qFormat/>
    <w:rsid w:val="00011C27"/>
    <w:pPr>
      <w:adjustRightInd w:val="0"/>
      <w:snapToGrid w:val="0"/>
      <w:spacing w:beforeLines="100" w:before="100" w:afterLines="100" w:after="100"/>
      <w:jc w:val="center"/>
    </w:pPr>
    <w:rPr>
      <w:rFonts w:ascii="Times New Roman" w:eastAsia="Times New Roman" w:hAnsi="Times New Roman" w:cs="Times New Roman"/>
      <w:b/>
      <w:noProof/>
      <w:color w:val="000000"/>
      <w:kern w:val="0"/>
      <w:szCs w:val="24"/>
      <w:lang w:bidi="en-US"/>
    </w:rPr>
  </w:style>
  <w:style w:type="paragraph" w:customStyle="1" w:styleId="Tablefooter">
    <w:name w:val="Table footer"/>
    <w:next w:val="Normal"/>
    <w:uiPriority w:val="12"/>
    <w:qFormat/>
    <w:rsid w:val="00011C27"/>
    <w:pPr>
      <w:jc w:val="both"/>
    </w:pPr>
    <w:rPr>
      <w:rFonts w:ascii="Times New Roman" w:eastAsia="Times New Roman" w:hAnsi="Times New Roman" w:cs="Times New Roman"/>
      <w:color w:val="000000"/>
      <w:kern w:val="0"/>
      <w:szCs w:val="21"/>
      <w:lang w:eastAsia="de-DE" w:bidi="en-US"/>
    </w:rPr>
  </w:style>
  <w:style w:type="paragraph" w:customStyle="1" w:styleId="Text">
    <w:name w:val="Text"/>
    <w:link w:val="Text0"/>
    <w:uiPriority w:val="10"/>
    <w:qFormat/>
    <w:rsid w:val="00011C27"/>
    <w:pPr>
      <w:ind w:firstLineChars="200" w:firstLine="200"/>
      <w:jc w:val="both"/>
    </w:pPr>
    <w:rPr>
      <w:rFonts w:ascii="Times New Roman" w:eastAsia="Times New Roman" w:hAnsi="Times New Roman" w:cs="Times New Roman"/>
      <w:snapToGrid w:val="0"/>
      <w:color w:val="000000"/>
      <w:kern w:val="0"/>
      <w:szCs w:val="28"/>
      <w:lang w:eastAsia="de-DE" w:bidi="en-US"/>
    </w:rPr>
  </w:style>
  <w:style w:type="character" w:customStyle="1" w:styleId="Text0">
    <w:name w:val="Text 字符"/>
    <w:basedOn w:val="DefaultParagraphFont"/>
    <w:link w:val="Text"/>
    <w:uiPriority w:val="10"/>
    <w:rsid w:val="00011C27"/>
    <w:rPr>
      <w:rFonts w:ascii="Times New Roman" w:eastAsia="Times New Roman" w:hAnsi="Times New Roman" w:cs="Times New Roman"/>
      <w:snapToGrid w:val="0"/>
      <w:color w:val="000000"/>
      <w:kern w:val="0"/>
      <w:szCs w:val="28"/>
      <w:lang w:eastAsia="de-DE" w:bidi="en-US"/>
    </w:rPr>
  </w:style>
  <w:style w:type="character" w:customStyle="1" w:styleId="Heading1Char">
    <w:name w:val="Heading 1 Char"/>
    <w:aliases w:val="Heading level 1 Char"/>
    <w:basedOn w:val="DefaultParagraphFont"/>
    <w:link w:val="Heading1"/>
    <w:uiPriority w:val="9"/>
    <w:rsid w:val="00011C27"/>
    <w:rPr>
      <w:rFonts w:ascii="Times New Roman" w:eastAsia="Times New Roman" w:hAnsi="Times New Roman" w:cs="Times New Roman"/>
      <w:b/>
      <w:bCs/>
      <w:noProof/>
      <w:color w:val="000000"/>
      <w:kern w:val="44"/>
      <w:sz w:val="24"/>
      <w:szCs w:val="24"/>
    </w:rPr>
  </w:style>
  <w:style w:type="character" w:customStyle="1" w:styleId="Heading2Char">
    <w:name w:val="Heading 2 Char"/>
    <w:aliases w:val="Heading level 2 Char"/>
    <w:basedOn w:val="DefaultParagraphFont"/>
    <w:link w:val="Heading2"/>
    <w:uiPriority w:val="9"/>
    <w:rsid w:val="00011C27"/>
    <w:rPr>
      <w:rFonts w:ascii="Times New Roman" w:eastAsia="Times New Roman" w:hAnsi="Times New Roman" w:cs="Times New Roman"/>
      <w:b/>
      <w:bCs/>
      <w:i/>
      <w:noProof/>
      <w:color w:val="000000"/>
      <w:kern w:val="0"/>
      <w:szCs w:val="21"/>
    </w:rPr>
  </w:style>
  <w:style w:type="character" w:customStyle="1" w:styleId="Heading3Char">
    <w:name w:val="Heading 3 Char"/>
    <w:aliases w:val="Heading level 3 Char"/>
    <w:basedOn w:val="DefaultParagraphFont"/>
    <w:link w:val="Heading3"/>
    <w:uiPriority w:val="9"/>
    <w:rsid w:val="00011C27"/>
    <w:rPr>
      <w:rFonts w:ascii="Times New Roman" w:eastAsia="Times New Roman" w:hAnsi="Times New Roman" w:cs="Times New Roman"/>
      <w:bCs/>
      <w:i/>
      <w:noProof/>
      <w:color w:val="000000"/>
      <w:kern w:val="0"/>
      <w:szCs w:val="21"/>
    </w:rPr>
  </w:style>
  <w:style w:type="paragraph" w:customStyle="1" w:styleId="1">
    <w:name w:val="标题1"/>
    <w:next w:val="Normal"/>
    <w:uiPriority w:val="1"/>
    <w:semiHidden/>
    <w:rsid w:val="00011C27"/>
    <w:pPr>
      <w:adjustRightInd w:val="0"/>
      <w:snapToGrid w:val="0"/>
      <w:jc w:val="both"/>
    </w:pPr>
    <w:rPr>
      <w:rFonts w:ascii="Times New Roman" w:eastAsia="Times New Roman" w:hAnsi="Times New Roman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rsid w:val="00011C27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C27"/>
    <w:rPr>
      <w:rFonts w:ascii="Palatino Linotype" w:eastAsia="SimSun" w:hAnsi="Palatino Linotype" w:cs="Tahoma"/>
      <w:noProof/>
      <w:color w:val="000000"/>
      <w:kern w:val="0"/>
      <w:sz w:val="20"/>
      <w:szCs w:val="18"/>
    </w:rPr>
  </w:style>
  <w:style w:type="paragraph" w:styleId="CommentText">
    <w:name w:val="annotation text"/>
    <w:basedOn w:val="Normal"/>
    <w:link w:val="CommentTextChar"/>
    <w:semiHidden/>
    <w:rsid w:val="00011C27"/>
  </w:style>
  <w:style w:type="character" w:customStyle="1" w:styleId="CommentTextChar">
    <w:name w:val="Comment Text Char"/>
    <w:link w:val="CommentText"/>
    <w:semiHidden/>
    <w:rsid w:val="00011C27"/>
    <w:rPr>
      <w:rFonts w:ascii="Palatino Linotype" w:eastAsia="SimSun" w:hAnsi="Palatino Linotype" w:cs="Times New Roman"/>
      <w:noProof/>
      <w:color w:val="000000"/>
      <w:kern w:val="0"/>
      <w:sz w:val="20"/>
      <w:szCs w:val="20"/>
    </w:rPr>
  </w:style>
  <w:style w:type="character" w:styleId="CommentReference">
    <w:name w:val="annotation reference"/>
    <w:semiHidden/>
    <w:rsid w:val="00011C27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1C27"/>
    <w:rPr>
      <w:b/>
      <w:bCs/>
    </w:rPr>
  </w:style>
  <w:style w:type="character" w:customStyle="1" w:styleId="CommentSubjectChar">
    <w:name w:val="Comment Subject Char"/>
    <w:link w:val="CommentSubject"/>
    <w:semiHidden/>
    <w:rsid w:val="00011C27"/>
    <w:rPr>
      <w:rFonts w:ascii="Palatino Linotype" w:eastAsia="SimSun" w:hAnsi="Palatino Linotype" w:cs="Times New Roman"/>
      <w:b/>
      <w:bCs/>
      <w:noProof/>
      <w:color w:val="000000"/>
      <w:kern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011C27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1C27"/>
  </w:style>
  <w:style w:type="table" w:styleId="TableGrid">
    <w:name w:val="Table Grid"/>
    <w:basedOn w:val="TableNormal"/>
    <w:uiPriority w:val="39"/>
    <w:rsid w:val="00011C27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011C27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011C27"/>
    <w:rPr>
      <w:rFonts w:ascii="Palatino Linotype" w:eastAsia="SimSun" w:hAnsi="Palatino Linotype" w:cs="Times New Roman"/>
      <w:noProof/>
      <w:color w:val="000000"/>
      <w:kern w:val="0"/>
      <w:sz w:val="20"/>
      <w:szCs w:val="20"/>
    </w:rPr>
  </w:style>
  <w:style w:type="character" w:styleId="EndnoteReference">
    <w:name w:val="endnote reference"/>
    <w:semiHidden/>
    <w:rsid w:val="00011C27"/>
    <w:rPr>
      <w:vertAlign w:val="superscript"/>
    </w:rPr>
  </w:style>
  <w:style w:type="table" w:styleId="PlainTable4">
    <w:name w:val="Plain Table 4"/>
    <w:basedOn w:val="TableNormal"/>
    <w:uiPriority w:val="44"/>
    <w:rsid w:val="00011C27"/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1C27"/>
  </w:style>
  <w:style w:type="paragraph" w:customStyle="1" w:styleId="10">
    <w:name w:val="行号1"/>
    <w:basedOn w:val="Text"/>
    <w:link w:val="Linenumber0"/>
    <w:semiHidden/>
    <w:rsid w:val="00011C27"/>
    <w:pPr>
      <w:ind w:firstLine="420"/>
    </w:pPr>
  </w:style>
  <w:style w:type="character" w:customStyle="1" w:styleId="Linenumber0">
    <w:name w:val="Line number 字符"/>
    <w:basedOn w:val="Text0"/>
    <w:link w:val="10"/>
    <w:semiHidden/>
    <w:rsid w:val="00011C27"/>
    <w:rPr>
      <w:rFonts w:ascii="Times New Roman" w:eastAsia="Times New Roman" w:hAnsi="Times New Roman" w:cs="Times New Roman"/>
      <w:snapToGrid w:val="0"/>
      <w:color w:val="000000"/>
      <w:kern w:val="0"/>
      <w:szCs w:val="28"/>
      <w:lang w:eastAsia="de-DE" w:bidi="en-US"/>
    </w:rPr>
  </w:style>
  <w:style w:type="paragraph" w:styleId="Footer">
    <w:name w:val="footer"/>
    <w:basedOn w:val="Normal"/>
    <w:link w:val="FooterChar"/>
    <w:uiPriority w:val="99"/>
    <w:semiHidden/>
    <w:rsid w:val="00011C27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semiHidden/>
    <w:rsid w:val="00011C27"/>
    <w:rPr>
      <w:rFonts w:ascii="Palatino Linotype" w:eastAsia="SimSun" w:hAnsi="Palatino Linotype" w:cs="Times New Roman"/>
      <w:noProof/>
      <w:color w:val="000000"/>
      <w:kern w:val="0"/>
      <w:sz w:val="20"/>
      <w:szCs w:val="18"/>
    </w:rPr>
  </w:style>
  <w:style w:type="character" w:styleId="PageNumber">
    <w:name w:val="page number"/>
    <w:semiHidden/>
    <w:rsid w:val="00011C27"/>
  </w:style>
  <w:style w:type="paragraph" w:styleId="Header">
    <w:name w:val="header"/>
    <w:basedOn w:val="Normal"/>
    <w:link w:val="HeaderChar"/>
    <w:uiPriority w:val="99"/>
    <w:semiHidden/>
    <w:rsid w:val="0001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semiHidden/>
    <w:rsid w:val="00011C27"/>
    <w:rPr>
      <w:rFonts w:ascii="Palatino Linotype" w:eastAsia="SimSun" w:hAnsi="Palatino Linotype" w:cs="Times New Roman"/>
      <w:noProof/>
      <w:color w:val="000000"/>
      <w:kern w:val="0"/>
      <w:sz w:val="20"/>
      <w:szCs w:val="18"/>
    </w:rPr>
  </w:style>
  <w:style w:type="character" w:styleId="PlaceholderText">
    <w:name w:val="Placeholder Text"/>
    <w:uiPriority w:val="99"/>
    <w:semiHidden/>
    <w:rsid w:val="00011C27"/>
    <w:rPr>
      <w:color w:val="808080"/>
    </w:rPr>
  </w:style>
  <w:style w:type="paragraph" w:styleId="BodyText">
    <w:name w:val="Body Text"/>
    <w:link w:val="BodyTextChar"/>
    <w:semiHidden/>
    <w:rsid w:val="00011C27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kern w:val="0"/>
      <w:sz w:val="24"/>
      <w:szCs w:val="20"/>
      <w:lang w:eastAsia="de-DE"/>
    </w:rPr>
  </w:style>
  <w:style w:type="character" w:customStyle="1" w:styleId="BodyTextChar">
    <w:name w:val="Body Text Char"/>
    <w:link w:val="BodyText"/>
    <w:semiHidden/>
    <w:rsid w:val="00011C27"/>
    <w:rPr>
      <w:rFonts w:ascii="Palatino Linotype" w:eastAsia="SimSun" w:hAnsi="Palatino Linotype" w:cs="Times New Roman"/>
      <w:color w:val="000000"/>
      <w:kern w:val="0"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81F7D"/>
    <w:pPr>
      <w:widowControl w:val="0"/>
      <w:autoSpaceDE w:val="0"/>
      <w:autoSpaceDN w:val="0"/>
      <w:adjustRightInd w:val="0"/>
      <w:spacing w:before="3" w:line="240" w:lineRule="auto"/>
      <w:ind w:left="561" w:right="126" w:firstLineChars="200" w:hanging="431"/>
    </w:pPr>
    <w:rPr>
      <w:rFonts w:ascii="Book Antiqua" w:eastAsia="Times New Roman" w:hAnsi="Book Antiqua" w:cs="Book Antiqua"/>
      <w:noProof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Puay</dc:creator>
  <cp:keywords/>
  <dc:description/>
  <cp:lastModifiedBy>Yousef, Sarah</cp:lastModifiedBy>
  <cp:revision>2</cp:revision>
  <dcterms:created xsi:type="dcterms:W3CDTF">2024-03-27T01:50:00Z</dcterms:created>
  <dcterms:modified xsi:type="dcterms:W3CDTF">2024-03-27T01:50:00Z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2024-03-27T01:48:20Z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f2356b16-578f-48fe-b2c2-139e07e39ef2</vt:lpwstr>
  </property>
  <property fmtid="{D5CDD505-2E9C-101B-9397-08002B2CF9AE}" pid="8" name="MSIP_Label_5e4b1be8-281e-475d-98b0-21c3457e5a46_ContentBits">
    <vt:lpwstr>0</vt:lpwstr>
  </property>
</Properties>
</file>